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0"/>
        </w:rPr>
      </w:pPr>
    </w:p>
    <w:p>
      <w:pPr>
        <w:rPr>
          <w:rFonts w:ascii="方正小标宋_GBK" w:eastAsia="方正小标宋_GBK"/>
          <w:sz w:val="40"/>
        </w:rPr>
      </w:pPr>
    </w:p>
    <w:p>
      <w:pPr>
        <w:rPr>
          <w:rFonts w:ascii="方正小标宋_GBK" w:eastAsia="方正小标宋_GBK"/>
          <w:sz w:val="40"/>
        </w:rPr>
      </w:pPr>
    </w:p>
    <w:p>
      <w:pPr>
        <w:jc w:val="center"/>
        <w:rPr>
          <w:rFonts w:ascii="方正小标宋_GBK" w:eastAsia="方正小标宋_GBK"/>
          <w:w w:val="85"/>
          <w:sz w:val="56"/>
        </w:rPr>
      </w:pPr>
      <w:r>
        <w:rPr>
          <w:rFonts w:hint="eastAsia" w:ascii="方正小标宋_GBK" w:eastAsia="方正小标宋_GBK"/>
          <w:w w:val="85"/>
          <w:sz w:val="56"/>
        </w:rPr>
        <w:t>濮阳市华龙区农牧局</w:t>
      </w:r>
    </w:p>
    <w:p>
      <w:pPr>
        <w:jc w:val="center"/>
        <w:rPr>
          <w:rFonts w:ascii="方正小标宋_GBK" w:eastAsia="方正小标宋_GBK"/>
          <w:spacing w:val="-20"/>
          <w:sz w:val="44"/>
        </w:rPr>
      </w:pPr>
      <w:r>
        <w:rPr>
          <w:rFonts w:hint="eastAsia" w:ascii="方正小标宋_GBK" w:eastAsia="方正小标宋_GBK"/>
          <w:w w:val="85"/>
          <w:sz w:val="56"/>
        </w:rPr>
        <w:t>2018年部门预算公开说明</w:t>
      </w: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楷体_GB2312" w:eastAsia="楷体_GB2312"/>
          <w:b/>
          <w:w w:val="90"/>
          <w:sz w:val="40"/>
        </w:rPr>
      </w:pPr>
    </w:p>
    <w:p>
      <w:pPr>
        <w:jc w:val="center"/>
        <w:rPr>
          <w:rFonts w:ascii="方正小标宋_GBK" w:eastAsia="方正小标宋_GBK"/>
          <w:sz w:val="40"/>
        </w:rPr>
      </w:pPr>
      <w:r>
        <w:rPr>
          <w:rFonts w:hint="eastAsia" w:ascii="楷体_GB2312" w:eastAsia="楷体_GB2312"/>
          <w:b/>
          <w:w w:val="90"/>
          <w:sz w:val="40"/>
        </w:rPr>
        <w:t>二</w:t>
      </w:r>
      <w:r>
        <w:rPr>
          <w:rFonts w:hint="eastAsia" w:ascii="宋体" w:hAnsi="宋体" w:cs="宋体"/>
          <w:b/>
          <w:w w:val="90"/>
          <w:sz w:val="40"/>
        </w:rPr>
        <w:t>〇</w:t>
      </w:r>
      <w:r>
        <w:rPr>
          <w:rFonts w:hint="eastAsia" w:ascii="楷体_GB2312" w:hAnsi="楷体_GB2312" w:eastAsia="楷体_GB2312" w:cs="楷体_GB2312"/>
          <w:b/>
          <w:w w:val="90"/>
          <w:sz w:val="40"/>
        </w:rPr>
        <w:t>一八年九月</w:t>
      </w:r>
    </w:p>
    <w:p>
      <w:pPr>
        <w:jc w:val="center"/>
        <w:rPr>
          <w:rFonts w:ascii="方正小标宋_GBK" w:eastAsia="方正小标宋_GBK"/>
          <w:sz w:val="32"/>
        </w:rPr>
      </w:pPr>
      <w:r>
        <w:rPr>
          <w:rFonts w:ascii="方正小标宋_GBK" w:eastAsia="方正小标宋_GBK"/>
          <w:sz w:val="32"/>
        </w:rPr>
        <w:br w:type="page"/>
      </w:r>
    </w:p>
    <w:p>
      <w:pPr>
        <w:pStyle w:val="8"/>
        <w:topLinePunct/>
        <w:spacing w:before="0" w:beforeAutospacing="0" w:after="0" w:afterAutospacing="0" w:line="360" w:lineRule="auto"/>
        <w:jc w:val="center"/>
        <w:rPr>
          <w:rFonts w:ascii="黑体" w:hAnsi="黑体" w:eastAsia="黑体"/>
          <w:color w:val="000000"/>
          <w:sz w:val="44"/>
          <w:szCs w:val="32"/>
        </w:rPr>
      </w:pPr>
      <w:r>
        <w:rPr>
          <w:rFonts w:hint="eastAsia" w:ascii="黑体" w:hAnsi="黑体" w:eastAsia="黑体"/>
          <w:color w:val="000000"/>
          <w:sz w:val="44"/>
          <w:szCs w:val="32"/>
        </w:rPr>
        <w:t>目 录</w:t>
      </w:r>
    </w:p>
    <w:p>
      <w:pPr>
        <w:pStyle w:val="8"/>
        <w:topLinePunct/>
        <w:spacing w:before="0" w:beforeAutospacing="0" w:after="0" w:afterAutospacing="0" w:line="360" w:lineRule="auto"/>
        <w:jc w:val="center"/>
        <w:rPr>
          <w:rFonts w:ascii="黑体" w:hAnsi="黑体" w:eastAsia="黑体"/>
          <w:color w:val="000000"/>
          <w:sz w:val="36"/>
          <w:szCs w:val="32"/>
        </w:rPr>
      </w:pPr>
    </w:p>
    <w:p>
      <w:pPr>
        <w:pStyle w:val="8"/>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第一部分</w:t>
      </w:r>
      <w:r>
        <w:rPr>
          <w:rFonts w:hint="eastAsia"/>
          <w:color w:val="000000"/>
          <w:sz w:val="32"/>
          <w:szCs w:val="32"/>
        </w:rPr>
        <w:t xml:space="preserve"> </w:t>
      </w:r>
      <w:r>
        <w:rPr>
          <w:rFonts w:hint="eastAsia" w:ascii="黑体" w:hAnsi="黑体" w:eastAsia="黑体"/>
          <w:color w:val="000000"/>
          <w:sz w:val="32"/>
          <w:szCs w:val="32"/>
        </w:rPr>
        <w:t>部门概况</w:t>
      </w:r>
      <w:r>
        <w:rPr>
          <w:rFonts w:hint="eastAsia"/>
          <w:color w:val="000000"/>
          <w:sz w:val="32"/>
          <w:szCs w:val="32"/>
        </w:rPr>
        <w:t> </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一、部门主要职责</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二、机构设置情况</w:t>
      </w:r>
    </w:p>
    <w:p>
      <w:pPr>
        <w:pStyle w:val="8"/>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第二部分 2018年部门预算情况说明 </w:t>
      </w:r>
    </w:p>
    <w:p>
      <w:pPr>
        <w:pStyle w:val="8"/>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第三部分 名词解释</w:t>
      </w:r>
    </w:p>
    <w:p>
      <w:pPr>
        <w:pStyle w:val="8"/>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附件：濮阳市华龙区</w:t>
      </w:r>
      <w:r>
        <w:rPr>
          <w:rFonts w:hint="eastAsia" w:ascii="黑体" w:hAnsi="黑体" w:eastAsia="黑体"/>
          <w:sz w:val="32"/>
          <w:szCs w:val="32"/>
        </w:rPr>
        <w:t>农牧局</w:t>
      </w:r>
      <w:r>
        <w:rPr>
          <w:rFonts w:hint="eastAsia" w:ascii="黑体" w:hAnsi="黑体" w:eastAsia="黑体"/>
          <w:color w:val="000000"/>
          <w:sz w:val="32"/>
          <w:szCs w:val="32"/>
        </w:rPr>
        <w:t>2018</w:t>
      </w:r>
      <w:r>
        <w:rPr>
          <w:rFonts w:hint="eastAsia"/>
          <w:color w:val="000000"/>
          <w:spacing w:val="-116"/>
          <w:sz w:val="32"/>
          <w:szCs w:val="32"/>
        </w:rPr>
        <w:t> </w:t>
      </w:r>
      <w:r>
        <w:rPr>
          <w:rFonts w:hint="eastAsia" w:ascii="黑体" w:hAnsi="黑体" w:eastAsia="黑体"/>
          <w:color w:val="000000"/>
          <w:sz w:val="32"/>
          <w:szCs w:val="32"/>
        </w:rPr>
        <w:t>年部门预算表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一、部门收支总体情况表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二、部门收入总体情况表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三、部门支出总体情况表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四、财政拨款收支总体情况表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五、一般公共预算支出情况表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六、一般公共预算基本支出情况表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七、一般公共预算“三公”经费支出情况表</w:t>
      </w:r>
    </w:p>
    <w:p>
      <w:pPr>
        <w:pStyle w:val="8"/>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八、政府性基金预算支出情况表</w:t>
      </w:r>
    </w:p>
    <w:p>
      <w:pPr>
        <w:ind w:firstLine="640" w:firstLineChars="200"/>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p>
    <w:p>
      <w:pPr>
        <w:ind w:firstLine="640" w:firstLineChars="200"/>
        <w:rPr>
          <w:rFonts w:ascii="黑体" w:hAnsi="黑体" w:eastAsia="黑体"/>
          <w:sz w:val="32"/>
          <w:szCs w:val="32"/>
        </w:rPr>
      </w:pP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第一部分</w:t>
      </w: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部门概况</w:t>
      </w:r>
    </w:p>
    <w:p>
      <w:pPr>
        <w:ind w:firstLine="640" w:firstLineChars="200"/>
        <w:rPr>
          <w:rFonts w:ascii="黑体" w:hAnsi="黑体" w:eastAsia="黑体"/>
          <w:sz w:val="32"/>
          <w:szCs w:val="32"/>
        </w:rPr>
      </w:pPr>
      <w:r>
        <w:rPr>
          <w:rFonts w:ascii="黑体" w:hAnsi="黑体" w:eastAsia="黑体"/>
          <w:sz w:val="32"/>
          <w:szCs w:val="32"/>
        </w:rPr>
        <w:t> </w:t>
      </w:r>
    </w:p>
    <w:p>
      <w:pPr>
        <w:ind w:firstLine="640" w:firstLineChars="200"/>
        <w:rPr>
          <w:rFonts w:ascii="黑体" w:hAnsi="黑体" w:eastAsia="黑体"/>
          <w:sz w:val="32"/>
          <w:szCs w:val="32"/>
        </w:rPr>
      </w:pPr>
      <w:r>
        <w:rPr>
          <w:rFonts w:hint="eastAsia" w:ascii="黑体" w:hAnsi="黑体" w:eastAsia="黑体"/>
          <w:sz w:val="32"/>
          <w:szCs w:val="32"/>
        </w:rPr>
        <w:t>一、部门主要职责</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 xml:space="preserve">拟订全区种植业、畜牧业、乡镇企业、都市生态农业等农业有关产业和农村经济发展政策、发展战略、中长期发展规划并组织实施。提出全区农牧业结构调整的意见、规划并组织实施；参与全区涉牧财税、金融保险、进出口等政策制定。贯彻执行农牧业和农村经济的有关法律、法规、规章、方针政策、发展战略和中长期发展规划,推进农牧业依法行政。 </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承担完善全区农村经营管理体制责任。提出稳定和完善农村基本经营制度的政策建议,指导农村土地承包、耕地使用权流转和承包纠纷仲裁管理。研究提出有关减轻农民负担的政策建议；指导、监督减轻农民负担和村民筹资筹劳管理工作,监督惠农政策落实。指导农村集体资产和财务管理。指导、扶持农业社会化服务体系、农村合作经济组织、新型农业经营主体建设与发展。</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指导全区农牧业生产,组织落实促进粮食、畜禽等主要农产品生产发展的相关政策措施；引导农牧业产业结构调整、区域布局及优质农畜产品生产基地建设。会同有关部门指导农牧业标准化、规模化、产业化发展和信息化建设。负责提出全区农牧业固定资产投资规模和方向、财政性资金安排的建议,按照规定权限，对规划内和年度计划规模内固定资产投资项目实施管理。编报部门预算并组织执行。提出扶持农业农村发展的财政政策和项目建议,与区财政部门协商并共同组织实施。</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承担农牧业防灾减灾的责任。监测、发布农牧业灾情,提出生产救灾资金安排建议,指导紧急救灾和灾后生产恢复。负责全区农作物重大病虫害防治。指导植物防疫和检疫体系建设。组织、监督对国内植物的防疫检疫工作,发布疫情并组织扑灭。组织植物检疫性有害生物普查。</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w:t>
      </w:r>
      <w:r>
        <w:rPr>
          <w:rFonts w:hint="eastAsia" w:ascii="仿宋" w:hAnsi="仿宋" w:eastAsia="仿宋" w:cs="仿宋"/>
          <w:sz w:val="32"/>
          <w:szCs w:val="32"/>
        </w:rPr>
        <w:t>促进农牧业产前、产中、产后一体化发展,拟订农牧业产业化经营发展规划与政策并组织实施。组织拟订促进农畜产品加工业发展政策、规划并组织实施。提出农牧业产业保护政策建议。指导农畜产品加工业结构调整、技术创新和服务体系建设。组织拟订农畜产品市场体系建设与发展规划。提出促进农畜产品流通的政策建议和主要农产品的进出口建议。</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w:t>
      </w:r>
      <w:r>
        <w:rPr>
          <w:rFonts w:hint="eastAsia" w:ascii="仿宋" w:hAnsi="仿宋" w:eastAsia="仿宋" w:cs="仿宋"/>
          <w:sz w:val="32"/>
          <w:szCs w:val="32"/>
        </w:rPr>
        <w:t>承担提升全区农畜产品质量安全水平的责任。负责农畜产品质量安全监测,依法开展农畜产品质量安全风险评估。参与组织实施农畜产品质量安全标准。组织监督管理农畜产品质量安全。</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w:t>
      </w:r>
      <w:r>
        <w:rPr>
          <w:rFonts w:hint="eastAsia" w:ascii="仿宋" w:hAnsi="仿宋" w:eastAsia="仿宋" w:cs="仿宋"/>
          <w:sz w:val="32"/>
          <w:szCs w:val="32"/>
        </w:rPr>
        <w:t>组织、协调全区农牧业生产资料市场体系建设。依法开展对农作物种子(种苗)、农药、肥料、种畜禽、兽药、饲料、牧草种子的监督管理。会同有关部门监督实施农牧业生产资料地方标准。</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8</w:t>
      </w:r>
      <w:r>
        <w:rPr>
          <w:rFonts w:ascii="仿宋" w:hAnsi="仿宋" w:eastAsia="仿宋" w:cs="仿宋"/>
          <w:sz w:val="32"/>
          <w:szCs w:val="32"/>
        </w:rPr>
        <w:t>.</w:t>
      </w:r>
      <w:r>
        <w:rPr>
          <w:rFonts w:hint="eastAsia" w:ascii="仿宋" w:hAnsi="仿宋" w:eastAsia="仿宋" w:cs="仿宋"/>
          <w:sz w:val="32"/>
          <w:szCs w:val="32"/>
        </w:rPr>
        <w:t>负责全区农牧业信息体系建设。开展相关农牧业综合统计,发布农牧业和农村经济信息,指导农牧业信息服务工作；监测分析农牧业和农村经济运行。开展培育农畜产品品牌工作。</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拟订全区农牧业科技、教育、技术推广的规划、计划和有关政策并组织实施。会同有关部门组织全区农牧业科技创新体系和现代农牧业产业技术体系建设,实施科教兴农战略,组织实施农业领域的高新技术和应用技术研究、农牧业科技成果转化和技术推广。负责农牧业科技成果管理,指导农技推广体系改革与建设。负责农业转基因生物安全监督管理。</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0.</w:t>
      </w:r>
      <w:r>
        <w:rPr>
          <w:rFonts w:hint="eastAsia" w:ascii="仿宋" w:hAnsi="仿宋" w:eastAsia="仿宋" w:cs="仿宋"/>
          <w:sz w:val="32"/>
          <w:szCs w:val="32"/>
        </w:rPr>
        <w:t>会同有关部门拟订全区农业农村人才队伍建设规划并组织实施,指导农业教育和农业职业技能开发工作,参与实施农村实用人才培训工程。会同有关部门依法实施农业农村人才专业技术资格和从业资格管理。</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11.</w:t>
      </w:r>
      <w:r>
        <w:rPr>
          <w:rFonts w:hint="eastAsia" w:ascii="仿宋" w:hAnsi="仿宋" w:eastAsia="仿宋" w:cs="仿宋"/>
          <w:sz w:val="32"/>
          <w:szCs w:val="32"/>
        </w:rPr>
        <w:t xml:space="preserve">制定并实施全区农牧业生态建设规划,指导农村可再生能源综合开发与利用,指导农业生物质产业发展和农业农村节能减排,承担指导农业面源污染治理有关工作。划定农畜产品禁止生产区域,指导生态农业、都市农业、循环农业等的发展。负责农业植物新品种保护工作。牵头管理外来物种。 </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2.</w:t>
      </w:r>
      <w:r>
        <w:rPr>
          <w:rFonts w:hint="eastAsia" w:ascii="仿宋" w:hAnsi="仿宋" w:eastAsia="仿宋" w:cs="仿宋"/>
          <w:sz w:val="32"/>
          <w:szCs w:val="32"/>
        </w:rPr>
        <w:t>组织全区农业资源区划工作,指导现代农牧业示范区建设。指导农用地和农业生物物种资源的保护和管理。拟订耕地及基本农田质量保护与改良政策并指导实施,依法管理耕地质量。运用工程设施、农艺、农机、生物等措施发展节水农业。</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3.</w:t>
      </w:r>
      <w:r>
        <w:rPr>
          <w:rFonts w:hint="eastAsia" w:ascii="仿宋" w:hAnsi="仿宋" w:eastAsia="仿宋" w:cs="仿宋"/>
          <w:sz w:val="32"/>
          <w:szCs w:val="32"/>
        </w:rPr>
        <w:t>负责全区动物防疫工作。组织制定并实施全区动物疫病防治规划和动物防疫检疫基础设施建设规划；组织、指导全区畜禽防疫、动物及其产品的检疫检验。</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4.</w:t>
      </w:r>
      <w:r>
        <w:rPr>
          <w:rFonts w:hint="eastAsia" w:ascii="仿宋" w:hAnsi="仿宋" w:eastAsia="仿宋" w:cs="仿宋"/>
          <w:sz w:val="32"/>
          <w:szCs w:val="32"/>
        </w:rPr>
        <w:t>负责全区畜禽屠宰监督管理工作。</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5.</w:t>
      </w:r>
      <w:r>
        <w:rPr>
          <w:rFonts w:hint="eastAsia" w:ascii="仿宋" w:hAnsi="仿宋" w:eastAsia="仿宋" w:cs="仿宋"/>
          <w:sz w:val="32"/>
          <w:szCs w:val="32"/>
        </w:rPr>
        <w:t>负责地方畜禽遗传资源保护和开发利用,培育和推广畜禽新品种。</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6.</w:t>
      </w:r>
      <w:r>
        <w:rPr>
          <w:rFonts w:hint="eastAsia" w:ascii="仿宋" w:hAnsi="仿宋" w:eastAsia="仿宋" w:cs="仿宋"/>
          <w:sz w:val="32"/>
          <w:szCs w:val="32"/>
        </w:rPr>
        <w:t>负责饲草饲料资源开发及草地建设、保护和监督管理。</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17.</w:t>
      </w:r>
      <w:r>
        <w:rPr>
          <w:rFonts w:hint="eastAsia" w:ascii="仿宋" w:hAnsi="仿宋" w:eastAsia="仿宋" w:cs="仿宋"/>
          <w:sz w:val="32"/>
          <w:szCs w:val="32"/>
        </w:rPr>
        <w:t xml:space="preserve"> 承担生鲜乳生产环节、收购环节的食品安全责任。指导生鲜乳收购站布局规划和建设,负责生鲜乳收购站监督管理。负责奶畜饲养以及生鲜乳生产环节、收购环节监督管理。制定并组织实施生鲜乳质量安全监测计划。</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18.</w:t>
      </w:r>
      <w:r>
        <w:rPr>
          <w:rFonts w:hint="eastAsia" w:ascii="仿宋" w:hAnsi="仿宋" w:eastAsia="仿宋" w:cs="仿宋"/>
          <w:sz w:val="32"/>
          <w:szCs w:val="32"/>
        </w:rPr>
        <w:t>负责兽医医政、兽药药政药检、兽医卫生监督管理,负责官方兽医、执业兽医、乡村兽医管理工作。</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19.</w:t>
      </w:r>
      <w:r>
        <w:rPr>
          <w:rFonts w:hint="eastAsia" w:ascii="仿宋" w:hAnsi="仿宋" w:eastAsia="仿宋" w:cs="仿宋"/>
          <w:sz w:val="32"/>
          <w:szCs w:val="32"/>
        </w:rPr>
        <w:t>负责突发重大动物疫情应急管理工作。</w:t>
      </w:r>
    </w:p>
    <w:p>
      <w:pPr>
        <w:snapToGrid w:val="0"/>
        <w:spacing w:line="520" w:lineRule="exact"/>
        <w:ind w:firstLine="640" w:firstLineChars="200"/>
        <w:rPr>
          <w:rFonts w:ascii="仿宋" w:hAnsi="仿宋" w:eastAsia="仿宋" w:cs="仿宋"/>
          <w:sz w:val="32"/>
          <w:szCs w:val="32"/>
        </w:rPr>
      </w:pPr>
      <w:r>
        <w:rPr>
          <w:rFonts w:ascii="仿宋" w:hAnsi="仿宋" w:eastAsia="仿宋" w:cs="仿宋"/>
          <w:sz w:val="32"/>
          <w:szCs w:val="32"/>
        </w:rPr>
        <w:t>20.</w:t>
      </w:r>
      <w:r>
        <w:rPr>
          <w:rFonts w:hint="eastAsia" w:ascii="仿宋" w:hAnsi="仿宋" w:eastAsia="仿宋" w:cs="仿宋"/>
          <w:sz w:val="32"/>
          <w:szCs w:val="32"/>
        </w:rPr>
        <w:t xml:space="preserve"> 承担政府间农牧业涉外事务,参与农牧业贸易谈判工作,组织开展全区农牧业贸易促进和对外经济、技术交流与合作。</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1.</w:t>
      </w:r>
      <w:r>
        <w:rPr>
          <w:rFonts w:hint="eastAsia" w:ascii="仿宋" w:hAnsi="仿宋" w:eastAsia="仿宋" w:cs="仿宋"/>
          <w:sz w:val="32"/>
          <w:szCs w:val="32"/>
        </w:rPr>
        <w:t>负责全区蔬菜相关工作。组织协调“菜篮子”工程建设。</w:t>
      </w:r>
    </w:p>
    <w:p>
      <w:pPr>
        <w:snapToGrid w:val="0"/>
        <w:spacing w:line="520" w:lineRule="exact"/>
        <w:ind w:firstLine="640" w:firstLineChars="200"/>
        <w:rPr>
          <w:rFonts w:ascii="仿宋" w:hAnsi="仿宋" w:eastAsia="仿宋"/>
          <w:sz w:val="32"/>
          <w:szCs w:val="32"/>
        </w:rPr>
      </w:pPr>
      <w:r>
        <w:rPr>
          <w:rFonts w:hint="eastAsia" w:ascii="仿宋" w:hAnsi="仿宋" w:eastAsia="仿宋" w:cs="仿宋"/>
          <w:sz w:val="32"/>
          <w:szCs w:val="32"/>
        </w:rPr>
        <w:t>2</w:t>
      </w:r>
      <w:r>
        <w:rPr>
          <w:rFonts w:ascii="仿宋" w:hAnsi="仿宋" w:eastAsia="仿宋" w:cs="仿宋"/>
          <w:sz w:val="32"/>
          <w:szCs w:val="32"/>
        </w:rPr>
        <w:t>2.</w:t>
      </w:r>
      <w:r>
        <w:rPr>
          <w:rFonts w:hint="eastAsia" w:ascii="仿宋" w:hAnsi="仿宋" w:eastAsia="仿宋" w:cs="仿宋"/>
          <w:sz w:val="32"/>
          <w:szCs w:val="32"/>
        </w:rPr>
        <w:t>承办区政府交办的其他事项。</w:t>
      </w:r>
    </w:p>
    <w:p>
      <w:pPr>
        <w:ind w:firstLine="640" w:firstLineChars="200"/>
        <w:rPr>
          <w:rFonts w:ascii="黑体" w:hAnsi="黑体" w:eastAsia="黑体"/>
          <w:sz w:val="32"/>
          <w:szCs w:val="32"/>
        </w:rPr>
      </w:pPr>
      <w:r>
        <w:rPr>
          <w:rFonts w:hint="eastAsia" w:ascii="黑体" w:hAnsi="黑体" w:eastAsia="黑体"/>
          <w:sz w:val="32"/>
          <w:szCs w:val="32"/>
        </w:rPr>
        <w:t>二、机构设置情况</w:t>
      </w:r>
    </w:p>
    <w:p>
      <w:pPr>
        <w:ind w:firstLine="640" w:firstLineChars="200"/>
        <w:rPr>
          <w:rFonts w:ascii="仿宋" w:hAnsi="仿宋" w:eastAsia="仿宋"/>
          <w:sz w:val="32"/>
          <w:szCs w:val="32"/>
        </w:rPr>
      </w:pPr>
      <w:r>
        <w:rPr>
          <w:rFonts w:hint="eastAsia" w:ascii="仿宋" w:hAnsi="仿宋" w:eastAsia="仿宋"/>
          <w:sz w:val="32"/>
          <w:szCs w:val="32"/>
        </w:rPr>
        <w:t>根据工作职责及实际工作需要，华龙区农牧局设有农牧局办公室、科技教育股、农业产业化办公室、畜牧站（畜禽屠宰管理办公室）、防疫检疫股，</w:t>
      </w:r>
      <w:bookmarkStart w:id="0" w:name="_Hlk527108154"/>
      <w:r>
        <w:rPr>
          <w:rFonts w:hint="eastAsia" w:ascii="仿宋" w:hAnsi="仿宋" w:eastAsia="仿宋"/>
          <w:sz w:val="32"/>
          <w:szCs w:val="32"/>
        </w:rPr>
        <w:t>本部门经费实行全额预算管理。</w:t>
      </w:r>
      <w:bookmarkEnd w:id="0"/>
    </w:p>
    <w:p>
      <w:pPr>
        <w:ind w:firstLine="640" w:firstLineChars="200"/>
        <w:rPr>
          <w:rFonts w:ascii="黑体" w:hAnsi="黑体" w:eastAsia="黑体"/>
          <w:sz w:val="32"/>
          <w:szCs w:val="32"/>
        </w:rPr>
      </w:pP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第二部分</w:t>
      </w: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2018年部门预算情况说明</w:t>
      </w:r>
    </w:p>
    <w:p>
      <w:pPr>
        <w:ind w:firstLine="640" w:firstLineChars="200"/>
        <w:rPr>
          <w:rFonts w:ascii="华文仿宋" w:hAnsi="华文仿宋" w:eastAsia="华文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一、本级预算和所属单位预算在内的汇总预算总体情况</w:t>
      </w:r>
    </w:p>
    <w:p>
      <w:pPr>
        <w:ind w:firstLine="640" w:firstLineChars="200"/>
        <w:rPr>
          <w:rFonts w:ascii="仿宋" w:hAnsi="仿宋" w:eastAsia="仿宋"/>
          <w:sz w:val="32"/>
          <w:szCs w:val="32"/>
        </w:rPr>
      </w:pPr>
      <w:r>
        <w:rPr>
          <w:rFonts w:hint="eastAsia" w:ascii="仿宋" w:hAnsi="仿宋" w:eastAsia="仿宋"/>
          <w:sz w:val="32"/>
          <w:szCs w:val="32"/>
        </w:rPr>
        <w:t>本部门无独立核算的下属预算单位，部门本级预算即汇总预算。</w:t>
      </w:r>
      <w:r>
        <w:rPr>
          <w:rFonts w:ascii="仿宋" w:hAnsi="仿宋" w:eastAsia="仿宋"/>
          <w:sz w:val="32"/>
          <w:szCs w:val="32"/>
        </w:rPr>
        <w:t>201</w:t>
      </w:r>
      <w:r>
        <w:rPr>
          <w:rFonts w:hint="eastAsia" w:ascii="仿宋" w:hAnsi="仿宋" w:eastAsia="仿宋"/>
          <w:sz w:val="32"/>
          <w:szCs w:val="32"/>
        </w:rPr>
        <w:t>8年本部门财政预算收入总计990.91万元，支出总计990.91万元。</w:t>
      </w:r>
    </w:p>
    <w:p>
      <w:pPr>
        <w:ind w:firstLine="640" w:firstLineChars="200"/>
        <w:rPr>
          <w:rFonts w:ascii="黑体" w:hAnsi="黑体" w:eastAsia="黑体"/>
          <w:sz w:val="32"/>
          <w:szCs w:val="32"/>
        </w:rPr>
      </w:pPr>
      <w:r>
        <w:rPr>
          <w:rFonts w:hint="eastAsia" w:ascii="黑体" w:hAnsi="黑体" w:eastAsia="黑体"/>
          <w:sz w:val="32"/>
          <w:szCs w:val="32"/>
        </w:rPr>
        <w:t>二、部门预算收支增减变动情况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8年本部门财政预算收入总计990.91万元，支出总计990.91万元。其中：基本支出941.91万元，占比95%，项目支出49万元，占比5%。</w:t>
      </w:r>
    </w:p>
    <w:p>
      <w:pPr>
        <w:ind w:firstLine="640" w:firstLineChars="200"/>
        <w:rPr>
          <w:rFonts w:ascii="仿宋" w:hAnsi="仿宋" w:eastAsia="仿宋"/>
          <w:sz w:val="32"/>
          <w:szCs w:val="32"/>
        </w:rPr>
      </w:pPr>
      <w:r>
        <w:rPr>
          <w:rFonts w:hint="eastAsia" w:ascii="仿宋" w:hAnsi="仿宋" w:eastAsia="仿宋"/>
          <w:sz w:val="32"/>
          <w:szCs w:val="32"/>
        </w:rPr>
        <w:t>2018年本部门财政预算较上年减少0万元(2018年新合成单位，无上年数据)。主要原因是由于人员工资标准的提高。</w:t>
      </w:r>
    </w:p>
    <w:p>
      <w:pPr>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8年本部门机关运行经费安排43.6万元，</w:t>
      </w:r>
      <w:bookmarkStart w:id="1" w:name="OLE_LINK1"/>
      <w:r>
        <w:rPr>
          <w:rFonts w:hint="eastAsia" w:ascii="仿宋" w:hAnsi="仿宋" w:eastAsia="仿宋"/>
          <w:sz w:val="32"/>
          <w:szCs w:val="32"/>
        </w:rPr>
        <w:t>主要用于办公费、“三公”经费、会议费、培训费，比上年减少0万元，减少0%，(2018年新合成单位，无上年数据)</w:t>
      </w:r>
      <w:bookmarkEnd w:id="1"/>
      <w:r>
        <w:rPr>
          <w:rFonts w:hint="eastAsia" w:ascii="仿宋" w:hAnsi="仿宋" w:eastAsia="仿宋"/>
          <w:sz w:val="32"/>
          <w:szCs w:val="32"/>
        </w:rPr>
        <w:t>。</w:t>
      </w:r>
    </w:p>
    <w:p>
      <w:pPr>
        <w:ind w:firstLine="640" w:firstLineChars="200"/>
        <w:rPr>
          <w:rFonts w:ascii="黑体" w:hAnsi="黑体" w:eastAsia="黑体"/>
          <w:sz w:val="32"/>
          <w:szCs w:val="32"/>
        </w:rPr>
      </w:pPr>
      <w:r>
        <w:rPr>
          <w:rFonts w:hint="eastAsia" w:ascii="黑体" w:hAnsi="黑体" w:eastAsia="黑体"/>
          <w:sz w:val="32"/>
          <w:szCs w:val="32"/>
        </w:rPr>
        <w:t>四、“三公”经费安排情况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8年本部门“三公”经费预算10.59万元，较上年减少0万元（2018年新合成单位，无上年数据），我单位严格执行相关规定，厉行勤俭节约。</w:t>
      </w:r>
    </w:p>
    <w:p>
      <w:pPr>
        <w:ind w:firstLine="640" w:firstLineChars="200"/>
        <w:rPr>
          <w:rFonts w:ascii="仿宋" w:hAnsi="仿宋" w:eastAsia="仿宋"/>
          <w:sz w:val="32"/>
          <w:szCs w:val="32"/>
        </w:rPr>
      </w:pPr>
      <w:r>
        <w:rPr>
          <w:rFonts w:hint="eastAsia" w:ascii="仿宋" w:hAnsi="仿宋" w:eastAsia="仿宋"/>
          <w:sz w:val="32"/>
          <w:szCs w:val="32"/>
        </w:rPr>
        <w:t>1.因公出国（境）费0万元；</w:t>
      </w:r>
    </w:p>
    <w:p>
      <w:pPr>
        <w:ind w:firstLine="640" w:firstLineChars="200"/>
        <w:rPr>
          <w:rFonts w:ascii="仿宋" w:hAnsi="仿宋" w:eastAsia="仿宋"/>
          <w:sz w:val="32"/>
          <w:szCs w:val="32"/>
        </w:rPr>
      </w:pPr>
      <w:r>
        <w:rPr>
          <w:rFonts w:hint="eastAsia" w:ascii="仿宋" w:hAnsi="仿宋" w:eastAsia="仿宋"/>
          <w:sz w:val="32"/>
          <w:szCs w:val="32"/>
        </w:rPr>
        <w:t>2.公务用车</w:t>
      </w:r>
      <w:bookmarkStart w:id="2" w:name="_Hlk527102369"/>
      <w:r>
        <w:rPr>
          <w:rFonts w:hint="eastAsia" w:ascii="仿宋" w:hAnsi="仿宋" w:eastAsia="仿宋"/>
          <w:sz w:val="32"/>
          <w:szCs w:val="32"/>
        </w:rPr>
        <w:t>购置及运行</w:t>
      </w:r>
      <w:bookmarkEnd w:id="2"/>
      <w:r>
        <w:rPr>
          <w:rFonts w:hint="eastAsia" w:ascii="仿宋" w:hAnsi="仿宋" w:eastAsia="仿宋"/>
          <w:sz w:val="32"/>
          <w:szCs w:val="32"/>
        </w:rPr>
        <w:t>费9.5万元，其中：公务用车购置0万元，公务用车运行费9.5万元。</w:t>
      </w:r>
    </w:p>
    <w:p>
      <w:pPr>
        <w:ind w:firstLine="640" w:firstLineChars="200"/>
        <w:rPr>
          <w:rFonts w:ascii="仿宋" w:hAnsi="仿宋" w:eastAsia="仿宋"/>
          <w:sz w:val="32"/>
          <w:szCs w:val="32"/>
        </w:rPr>
      </w:pPr>
      <w:r>
        <w:rPr>
          <w:rFonts w:hint="eastAsia" w:ascii="仿宋" w:hAnsi="仿宋" w:eastAsia="仿宋"/>
          <w:sz w:val="32"/>
          <w:szCs w:val="32"/>
        </w:rPr>
        <w:t>3.公务接待费1.09万元。</w:t>
      </w:r>
    </w:p>
    <w:p>
      <w:pPr>
        <w:ind w:firstLine="640" w:firstLineChars="200"/>
        <w:rPr>
          <w:rFonts w:ascii="仿宋" w:hAnsi="仿宋" w:eastAsia="仿宋"/>
          <w:sz w:val="32"/>
          <w:szCs w:val="32"/>
        </w:rPr>
      </w:pPr>
      <w:r>
        <w:rPr>
          <w:rFonts w:hint="eastAsia" w:ascii="黑体" w:hAnsi="黑体" w:eastAsia="黑体"/>
          <w:sz w:val="32"/>
          <w:szCs w:val="32"/>
        </w:rPr>
        <w:t>五、政府采购安排情况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8年本部门无政府采购预算安排。</w:t>
      </w:r>
    </w:p>
    <w:p>
      <w:pPr>
        <w:ind w:firstLine="640" w:firstLineChars="200"/>
        <w:rPr>
          <w:rFonts w:ascii="黑体" w:hAnsi="黑体" w:eastAsia="黑体"/>
          <w:sz w:val="32"/>
          <w:szCs w:val="32"/>
        </w:rPr>
      </w:pPr>
      <w:r>
        <w:rPr>
          <w:rFonts w:hint="eastAsia" w:ascii="黑体" w:hAnsi="黑体" w:eastAsia="黑体"/>
          <w:sz w:val="32"/>
          <w:szCs w:val="32"/>
        </w:rPr>
        <w:t>六、政府性基金预算安排情况</w:t>
      </w:r>
    </w:p>
    <w:p>
      <w:pPr>
        <w:ind w:firstLine="640" w:firstLineChars="200"/>
        <w:rPr>
          <w:rFonts w:ascii="仿宋" w:hAnsi="仿宋" w:eastAsia="仿宋"/>
          <w:sz w:val="32"/>
          <w:szCs w:val="32"/>
        </w:rPr>
      </w:pPr>
      <w:r>
        <w:rPr>
          <w:rFonts w:hint="eastAsia" w:ascii="仿宋" w:hAnsi="仿宋" w:eastAsia="仿宋"/>
          <w:sz w:val="32"/>
          <w:szCs w:val="32"/>
        </w:rPr>
        <w:t>本部门无使用政府性基金预算安排的支出。</w:t>
      </w:r>
    </w:p>
    <w:p>
      <w:pPr>
        <w:ind w:firstLine="640" w:firstLineChars="200"/>
        <w:rPr>
          <w:rFonts w:hint="eastAsia" w:ascii="黑体" w:hAnsi="黑体" w:eastAsia="黑体"/>
          <w:color w:val="000000" w:themeColor="text1"/>
          <w:sz w:val="32"/>
          <w:szCs w:val="32"/>
        </w:rPr>
      </w:pPr>
      <w:r>
        <w:rPr>
          <w:rFonts w:hint="eastAsia" w:ascii="黑体" w:hAnsi="黑体" w:eastAsia="黑体"/>
          <w:color w:val="000000" w:themeColor="text1"/>
          <w:sz w:val="32"/>
          <w:szCs w:val="32"/>
        </w:rPr>
        <w:t>七、预算绩效管理工作开展情况说明</w:t>
      </w:r>
    </w:p>
    <w:p>
      <w:pPr>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按照《濮阳市华龙区财政局关于编制区级2018年部门预算（草案）和2018-2020年财政规划的通知》（华龙财〔2018〕2号）有关强化预算绩效管理导向方面要求，本部门牢固树立“讲绩效、重绩效、用绩效”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pPr>
        <w:ind w:firstLine="640" w:firstLineChars="200"/>
        <w:rPr>
          <w:rFonts w:hint="eastAsia" w:ascii="黑体" w:hAnsi="黑体" w:eastAsia="黑体"/>
          <w:color w:val="000000" w:themeColor="text1"/>
          <w:sz w:val="32"/>
          <w:szCs w:val="32"/>
        </w:rPr>
      </w:pPr>
      <w:r>
        <w:rPr>
          <w:rFonts w:ascii="黑体" w:hAnsi="黑体" w:eastAsia="黑体"/>
          <w:color w:val="000000" w:themeColor="text1"/>
          <w:sz w:val="32"/>
          <w:szCs w:val="32"/>
        </w:rPr>
        <w:t>八</w:t>
      </w:r>
      <w:r>
        <w:rPr>
          <w:rFonts w:hint="eastAsia" w:ascii="黑体" w:hAnsi="黑体" w:eastAsia="黑体"/>
          <w:color w:val="000000" w:themeColor="text1"/>
          <w:sz w:val="32"/>
          <w:szCs w:val="32"/>
        </w:rPr>
        <w:t>、</w:t>
      </w:r>
      <w:r>
        <w:rPr>
          <w:rFonts w:ascii="黑体" w:hAnsi="黑体" w:eastAsia="黑体"/>
          <w:color w:val="000000" w:themeColor="text1"/>
          <w:sz w:val="32"/>
          <w:szCs w:val="32"/>
        </w:rPr>
        <w:t>国有资产占用情况</w:t>
      </w:r>
    </w:p>
    <w:p>
      <w:pPr>
        <w:ind w:firstLine="640" w:firstLineChars="200"/>
        <w:rPr>
          <w:rFonts w:ascii="仿宋" w:hAnsi="仿宋" w:eastAsia="仿宋"/>
          <w:sz w:val="32"/>
          <w:szCs w:val="32"/>
        </w:rPr>
      </w:pPr>
      <w:r>
        <w:rPr>
          <w:rFonts w:ascii="仿宋" w:hAnsi="仿宋" w:eastAsia="仿宋"/>
          <w:color w:val="000000" w:themeColor="text1"/>
          <w:sz w:val="32"/>
          <w:szCs w:val="32"/>
        </w:rPr>
        <w:t>2017</w:t>
      </w:r>
      <w:r>
        <w:rPr>
          <w:rFonts w:hint="eastAsia" w:ascii="仿宋" w:hAnsi="仿宋" w:eastAsia="仿宋"/>
          <w:color w:val="000000" w:themeColor="text1"/>
          <w:sz w:val="32"/>
          <w:szCs w:val="32"/>
        </w:rPr>
        <w:t>年期末，本部门共有车辆</w:t>
      </w:r>
      <w:r>
        <w:rPr>
          <w:rFonts w:ascii="仿宋" w:hAnsi="仿宋" w:eastAsia="仿宋"/>
          <w:color w:val="000000" w:themeColor="text1"/>
          <w:sz w:val="32"/>
          <w:szCs w:val="32"/>
        </w:rPr>
        <w:t>3</w:t>
      </w:r>
      <w:r>
        <w:rPr>
          <w:rFonts w:hint="eastAsia" w:ascii="仿宋" w:hAnsi="仿宋" w:eastAsia="仿宋"/>
          <w:color w:val="000000" w:themeColor="text1"/>
          <w:sz w:val="32"/>
          <w:szCs w:val="32"/>
        </w:rPr>
        <w:t>辆，其中：一般公务用车</w:t>
      </w:r>
      <w:r>
        <w:rPr>
          <w:rFonts w:hint="eastAsia" w:ascii="仿宋" w:hAnsi="仿宋" w:eastAsia="仿宋"/>
          <w:color w:val="000000" w:themeColor="text1"/>
          <w:sz w:val="32"/>
          <w:szCs w:val="32"/>
          <w:lang w:val="en-US" w:eastAsia="zh-CN"/>
        </w:rPr>
        <w:t>1</w:t>
      </w:r>
      <w:r>
        <w:rPr>
          <w:rFonts w:hint="eastAsia" w:ascii="仿宋" w:hAnsi="仿宋" w:eastAsia="仿宋"/>
          <w:color w:val="000000" w:themeColor="text1"/>
          <w:sz w:val="32"/>
          <w:szCs w:val="32"/>
        </w:rPr>
        <w:t>辆、一般执法执勤用车</w:t>
      </w:r>
      <w:r>
        <w:rPr>
          <w:rFonts w:hint="eastAsia" w:ascii="仿宋" w:hAnsi="仿宋" w:eastAsia="仿宋"/>
          <w:color w:val="000000" w:themeColor="text1"/>
          <w:sz w:val="32"/>
          <w:szCs w:val="32"/>
          <w:lang w:val="en-US" w:eastAsia="zh-CN"/>
        </w:rPr>
        <w:t>1</w:t>
      </w:r>
      <w:r>
        <w:rPr>
          <w:rFonts w:hint="eastAsia" w:ascii="仿宋" w:hAnsi="仿宋" w:eastAsia="仿宋"/>
          <w:color w:val="000000" w:themeColor="text1"/>
          <w:sz w:val="32"/>
          <w:szCs w:val="32"/>
        </w:rPr>
        <w:t>辆、特种专业技术用车</w:t>
      </w:r>
      <w:r>
        <w:rPr>
          <w:rFonts w:hint="eastAsia" w:ascii="仿宋" w:hAnsi="仿宋" w:eastAsia="仿宋"/>
          <w:color w:val="000000" w:themeColor="text1"/>
          <w:sz w:val="32"/>
          <w:szCs w:val="32"/>
          <w:lang w:val="en-US" w:eastAsia="zh-CN"/>
        </w:rPr>
        <w:t>1</w:t>
      </w:r>
      <w:r>
        <w:rPr>
          <w:rFonts w:hint="eastAsia" w:ascii="仿宋" w:hAnsi="仿宋" w:eastAsia="仿宋"/>
          <w:color w:val="000000" w:themeColor="text1"/>
          <w:sz w:val="32"/>
          <w:szCs w:val="32"/>
        </w:rPr>
        <w:t>辆，其他用车</w:t>
      </w:r>
      <w:r>
        <w:rPr>
          <w:rFonts w:hint="eastAsia" w:ascii="仿宋" w:hAnsi="仿宋" w:eastAsia="仿宋"/>
          <w:color w:val="000000" w:themeColor="text1"/>
          <w:sz w:val="32"/>
          <w:szCs w:val="32"/>
          <w:lang w:val="en-US" w:eastAsia="zh-CN"/>
        </w:rPr>
        <w:t>0</w:t>
      </w:r>
      <w:bookmarkStart w:id="3" w:name="_GoBack"/>
      <w:bookmarkEnd w:id="3"/>
      <w:r>
        <w:rPr>
          <w:rFonts w:hint="eastAsia" w:ascii="仿宋" w:hAnsi="仿宋" w:eastAsia="仿宋"/>
          <w:color w:val="000000" w:themeColor="text1"/>
          <w:sz w:val="32"/>
          <w:szCs w:val="32"/>
        </w:rPr>
        <w:t>辆</w:t>
      </w:r>
      <w:r>
        <w:rPr>
          <w:rFonts w:hint="eastAsia" w:ascii="仿宋" w:hAnsi="仿宋" w:eastAsia="仿宋"/>
          <w:color w:val="000000" w:themeColor="text1"/>
          <w:sz w:val="32"/>
          <w:szCs w:val="32"/>
          <w:lang w:val="en-US" w:eastAsia="zh-CN"/>
        </w:rPr>
        <w:t>；</w:t>
      </w:r>
      <w:r>
        <w:rPr>
          <w:rFonts w:hint="eastAsia" w:ascii="仿宋" w:hAnsi="仿宋" w:eastAsia="仿宋"/>
          <w:color w:val="000000" w:themeColor="text1"/>
          <w:sz w:val="32"/>
          <w:szCs w:val="32"/>
        </w:rPr>
        <w:t>单位价值</w:t>
      </w:r>
      <w:r>
        <w:rPr>
          <w:rFonts w:ascii="仿宋" w:hAnsi="仿宋" w:eastAsia="仿宋"/>
          <w:color w:val="000000" w:themeColor="text1"/>
          <w:sz w:val="32"/>
          <w:szCs w:val="32"/>
        </w:rPr>
        <w:t>50</w:t>
      </w:r>
      <w:r>
        <w:rPr>
          <w:rFonts w:hint="eastAsia" w:ascii="仿宋" w:hAnsi="仿宋" w:eastAsia="仿宋"/>
          <w:color w:val="000000" w:themeColor="text1"/>
          <w:sz w:val="32"/>
          <w:szCs w:val="32"/>
        </w:rPr>
        <w:t>万元以上通用设备</w:t>
      </w:r>
      <w:r>
        <w:rPr>
          <w:rFonts w:ascii="仿宋" w:hAnsi="仿宋" w:eastAsia="仿宋"/>
          <w:color w:val="000000" w:themeColor="text1"/>
          <w:sz w:val="32"/>
          <w:szCs w:val="32"/>
        </w:rPr>
        <w:t>0</w:t>
      </w:r>
      <w:r>
        <w:rPr>
          <w:rFonts w:hint="eastAsia" w:ascii="仿宋" w:hAnsi="仿宋" w:eastAsia="仿宋"/>
          <w:color w:val="000000" w:themeColor="text1"/>
          <w:sz w:val="32"/>
          <w:szCs w:val="32"/>
        </w:rPr>
        <w:t>台（套），单位价值</w:t>
      </w:r>
      <w:r>
        <w:rPr>
          <w:rFonts w:ascii="仿宋" w:hAnsi="仿宋" w:eastAsia="仿宋"/>
          <w:color w:val="000000" w:themeColor="text1"/>
          <w:sz w:val="32"/>
          <w:szCs w:val="32"/>
        </w:rPr>
        <w:t>100</w:t>
      </w:r>
      <w:r>
        <w:rPr>
          <w:rFonts w:hint="eastAsia" w:ascii="仿宋" w:hAnsi="仿宋" w:eastAsia="仿宋"/>
          <w:color w:val="000000" w:themeColor="text1"/>
          <w:sz w:val="32"/>
          <w:szCs w:val="32"/>
        </w:rPr>
        <w:t>万元以上专用设备</w:t>
      </w:r>
      <w:r>
        <w:rPr>
          <w:rFonts w:ascii="仿宋" w:hAnsi="仿宋" w:eastAsia="仿宋"/>
          <w:color w:val="000000" w:themeColor="text1"/>
          <w:sz w:val="32"/>
          <w:szCs w:val="32"/>
        </w:rPr>
        <w:t>0</w:t>
      </w:r>
      <w:r>
        <w:rPr>
          <w:rFonts w:hint="eastAsia" w:ascii="仿宋" w:hAnsi="仿宋" w:eastAsia="仿宋"/>
          <w:color w:val="000000" w:themeColor="text1"/>
          <w:sz w:val="32"/>
          <w:szCs w:val="32"/>
        </w:rPr>
        <w:t>台（套）。</w:t>
      </w:r>
    </w:p>
    <w:p>
      <w:pPr>
        <w:ind w:firstLine="640" w:firstLineChars="200"/>
        <w:rPr>
          <w:rFonts w:ascii="黑体" w:hAnsi="黑体" w:eastAsia="黑体"/>
          <w:sz w:val="32"/>
          <w:szCs w:val="32"/>
        </w:rPr>
      </w:pP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第三部分</w:t>
      </w:r>
    </w:p>
    <w:p>
      <w:pPr>
        <w:pStyle w:val="8"/>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名词解释</w:t>
      </w:r>
    </w:p>
    <w:p>
      <w:pPr>
        <w:ind w:firstLine="640" w:firstLineChars="200"/>
        <w:rPr>
          <w:rFonts w:ascii="仿宋" w:hAnsi="仿宋" w:eastAsia="仿宋"/>
          <w:sz w:val="32"/>
          <w:szCs w:val="32"/>
        </w:rPr>
      </w:pPr>
    </w:p>
    <w:p>
      <w:pPr>
        <w:ind w:firstLine="640"/>
        <w:rPr>
          <w:rFonts w:ascii="黑体" w:hAnsi="黑体" w:eastAsia="黑体"/>
          <w:sz w:val="32"/>
          <w:szCs w:val="32"/>
        </w:rPr>
      </w:pPr>
      <w:r>
        <w:rPr>
          <w:rFonts w:hint="eastAsia" w:ascii="黑体" w:hAnsi="黑体" w:eastAsia="黑体"/>
          <w:sz w:val="32"/>
          <w:szCs w:val="32"/>
        </w:rPr>
        <w:t>一、财政拨款收入</w:t>
      </w:r>
    </w:p>
    <w:p>
      <w:pPr>
        <w:ind w:firstLine="640"/>
        <w:rPr>
          <w:rFonts w:ascii="仿宋" w:hAnsi="仿宋" w:eastAsia="仿宋"/>
          <w:sz w:val="32"/>
          <w:szCs w:val="32"/>
        </w:rPr>
      </w:pPr>
      <w:r>
        <w:rPr>
          <w:rFonts w:hint="eastAsia" w:ascii="仿宋" w:hAnsi="仿宋" w:eastAsia="仿宋"/>
          <w:sz w:val="32"/>
          <w:szCs w:val="32"/>
        </w:rPr>
        <w:t>指本级财政当年拨付的资金。</w:t>
      </w:r>
    </w:p>
    <w:p>
      <w:pPr>
        <w:ind w:firstLine="640"/>
        <w:rPr>
          <w:rFonts w:ascii="黑体" w:hAnsi="黑体" w:eastAsia="黑体"/>
          <w:sz w:val="32"/>
          <w:szCs w:val="32"/>
        </w:rPr>
      </w:pPr>
      <w:r>
        <w:rPr>
          <w:rFonts w:hint="eastAsia" w:ascii="黑体" w:hAnsi="黑体" w:eastAsia="黑体"/>
          <w:sz w:val="32"/>
          <w:szCs w:val="32"/>
        </w:rPr>
        <w:t>二、事业收入</w:t>
      </w:r>
    </w:p>
    <w:p>
      <w:pPr>
        <w:ind w:firstLine="640" w:firstLineChars="200"/>
        <w:rPr>
          <w:rFonts w:ascii="仿宋" w:hAnsi="仿宋" w:eastAsia="仿宋"/>
          <w:sz w:val="32"/>
          <w:szCs w:val="32"/>
        </w:rPr>
      </w:pPr>
      <w:r>
        <w:rPr>
          <w:rFonts w:hint="eastAsia" w:ascii="仿宋" w:hAnsi="仿宋" w:eastAsia="仿宋"/>
          <w:sz w:val="32"/>
          <w:szCs w:val="32"/>
        </w:rPr>
        <w:t>指事业单位开展专务活动及辅助所取得的收入。</w:t>
      </w:r>
    </w:p>
    <w:p>
      <w:pPr>
        <w:ind w:firstLine="640"/>
        <w:rPr>
          <w:rFonts w:ascii="黑体" w:hAnsi="黑体" w:eastAsia="黑体"/>
          <w:sz w:val="32"/>
          <w:szCs w:val="32"/>
        </w:rPr>
      </w:pPr>
      <w:r>
        <w:rPr>
          <w:rFonts w:hint="eastAsia" w:ascii="黑体" w:hAnsi="黑体" w:eastAsia="黑体"/>
          <w:sz w:val="32"/>
          <w:szCs w:val="32"/>
        </w:rPr>
        <w:t>三、其他收入</w:t>
      </w:r>
    </w:p>
    <w:p>
      <w:pPr>
        <w:ind w:firstLine="640" w:firstLineChars="200"/>
        <w:rPr>
          <w:rFonts w:ascii="仿宋" w:hAnsi="仿宋" w:eastAsia="仿宋"/>
          <w:sz w:val="32"/>
          <w:szCs w:val="32"/>
        </w:rPr>
      </w:pPr>
      <w:r>
        <w:rPr>
          <w:rFonts w:hint="eastAsia" w:ascii="仿宋" w:hAnsi="仿宋" w:eastAsia="仿宋"/>
          <w:sz w:val="32"/>
          <w:szCs w:val="32"/>
        </w:rPr>
        <w:t>指除上述“财政拨款”、“事业收入”、“事业单位经营收入”、“附属单位上缴收入”等以外的收入。</w:t>
      </w:r>
    </w:p>
    <w:p>
      <w:pPr>
        <w:ind w:firstLine="640"/>
        <w:rPr>
          <w:rFonts w:ascii="黑体" w:hAnsi="黑体" w:eastAsia="黑体"/>
          <w:sz w:val="32"/>
          <w:szCs w:val="32"/>
        </w:rPr>
      </w:pPr>
      <w:r>
        <w:rPr>
          <w:rFonts w:hint="eastAsia" w:ascii="黑体" w:hAnsi="黑体" w:eastAsia="黑体"/>
          <w:sz w:val="32"/>
          <w:szCs w:val="32"/>
        </w:rPr>
        <w:t>四、基本支出</w:t>
      </w:r>
    </w:p>
    <w:p>
      <w:pPr>
        <w:ind w:firstLine="640" w:firstLineChars="200"/>
        <w:rPr>
          <w:rFonts w:ascii="仿宋" w:hAnsi="仿宋" w:eastAsia="仿宋"/>
          <w:sz w:val="32"/>
          <w:szCs w:val="32"/>
        </w:rPr>
      </w:pPr>
      <w:r>
        <w:rPr>
          <w:rFonts w:hint="eastAsia" w:ascii="仿宋" w:hAnsi="仿宋" w:eastAsia="仿宋"/>
          <w:sz w:val="32"/>
          <w:szCs w:val="32"/>
        </w:rPr>
        <w:t>指为保障机构正常运转、完成日常工作任务所必需的开支，其内容包括人员经费和日常公用经费两部分。</w:t>
      </w:r>
    </w:p>
    <w:p>
      <w:pPr>
        <w:ind w:firstLine="640"/>
        <w:rPr>
          <w:rFonts w:ascii="黑体" w:hAnsi="黑体" w:eastAsia="黑体"/>
          <w:sz w:val="32"/>
          <w:szCs w:val="32"/>
        </w:rPr>
      </w:pPr>
      <w:r>
        <w:rPr>
          <w:rFonts w:hint="eastAsia" w:ascii="黑体" w:hAnsi="黑体" w:eastAsia="黑体"/>
          <w:sz w:val="32"/>
          <w:szCs w:val="32"/>
        </w:rPr>
        <w:t>五、项目支出</w:t>
      </w:r>
    </w:p>
    <w:p>
      <w:pPr>
        <w:ind w:firstLine="640" w:firstLineChars="200"/>
        <w:rPr>
          <w:rFonts w:ascii="仿宋" w:hAnsi="仿宋" w:eastAsia="仿宋"/>
          <w:sz w:val="32"/>
          <w:szCs w:val="32"/>
        </w:rPr>
      </w:pPr>
      <w:r>
        <w:rPr>
          <w:rFonts w:hint="eastAsia" w:ascii="仿宋" w:hAnsi="仿宋" w:eastAsia="仿宋"/>
          <w:sz w:val="32"/>
          <w:szCs w:val="32"/>
        </w:rPr>
        <w:t>指在基本支出之外，为完成特定的行政工作任务或事业发展目标所发生的支出。</w:t>
      </w:r>
    </w:p>
    <w:p>
      <w:pPr>
        <w:ind w:firstLine="640"/>
        <w:rPr>
          <w:rFonts w:ascii="黑体" w:hAnsi="黑体" w:eastAsia="黑体"/>
          <w:sz w:val="32"/>
          <w:szCs w:val="32"/>
        </w:rPr>
      </w:pPr>
      <w:r>
        <w:rPr>
          <w:rFonts w:hint="eastAsia" w:ascii="黑体" w:hAnsi="黑体" w:eastAsia="黑体"/>
          <w:sz w:val="32"/>
          <w:szCs w:val="32"/>
        </w:rPr>
        <w:t>六、机关运行经费</w:t>
      </w:r>
    </w:p>
    <w:p>
      <w:pPr>
        <w:ind w:firstLine="640" w:firstLineChars="200"/>
        <w:rPr>
          <w:rFonts w:ascii="仿宋" w:hAnsi="仿宋" w:eastAsia="仿宋"/>
          <w:sz w:val="32"/>
          <w:szCs w:val="32"/>
        </w:rPr>
      </w:pPr>
      <w:r>
        <w:rPr>
          <w:rFonts w:hint="eastAsia" w:ascii="仿宋" w:hAnsi="仿宋" w:eastAsia="仿宋"/>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0"/>
        <w:rPr>
          <w:rFonts w:ascii="黑体" w:hAnsi="黑体" w:eastAsia="黑体"/>
          <w:sz w:val="32"/>
          <w:szCs w:val="32"/>
        </w:rPr>
      </w:pPr>
      <w:r>
        <w:rPr>
          <w:rFonts w:hint="eastAsia" w:ascii="黑体" w:hAnsi="黑体" w:eastAsia="黑体"/>
          <w:sz w:val="32"/>
          <w:szCs w:val="32"/>
        </w:rPr>
        <w:t>七、“三公”经费</w:t>
      </w:r>
    </w:p>
    <w:p>
      <w:pPr>
        <w:ind w:firstLine="640" w:firstLineChars="200"/>
        <w:rPr>
          <w:rFonts w:ascii="仿宋" w:hAnsi="仿宋" w:eastAsia="仿宋"/>
          <w:sz w:val="32"/>
          <w:szCs w:val="32"/>
        </w:rPr>
      </w:pPr>
      <w:r>
        <w:rPr>
          <w:rFonts w:hint="eastAsia" w:ascii="仿宋" w:hAnsi="仿宋" w:eastAsia="仿宋"/>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B0A"/>
    <w:rsid w:val="000225E8"/>
    <w:rsid w:val="00366107"/>
    <w:rsid w:val="005E75E8"/>
    <w:rsid w:val="00643B0A"/>
    <w:rsid w:val="00992874"/>
    <w:rsid w:val="00AA0488"/>
    <w:rsid w:val="5E757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rPr>
  </w:style>
  <w:style w:type="character" w:customStyle="1" w:styleId="6">
    <w:name w:val="页脚 字符"/>
    <w:link w:val="2"/>
    <w:semiHidden/>
    <w:uiPriority w:val="0"/>
    <w:rPr>
      <w:rFonts w:cs="Times New Roman"/>
      <w:sz w:val="18"/>
    </w:rPr>
  </w:style>
  <w:style w:type="character" w:customStyle="1" w:styleId="7">
    <w:name w:val="页眉 字符"/>
    <w:link w:val="3"/>
    <w:semiHidden/>
    <w:qFormat/>
    <w:uiPriority w:val="0"/>
    <w:rPr>
      <w:rFonts w:cs="Times New Roman"/>
      <w:sz w:val="18"/>
    </w:rPr>
  </w:style>
  <w:style w:type="paragraph" w:customStyle="1" w:styleId="8">
    <w:name w:val="普通(网站)1"/>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9">
    <w:name w:val="Default"/>
    <w:uiPriority w:val="0"/>
    <w:pPr>
      <w:widowControl w:val="0"/>
      <w:autoSpaceDE w:val="0"/>
      <w:autoSpaceDN w:val="0"/>
      <w:adjustRightInd w:val="0"/>
    </w:pPr>
    <w:rPr>
      <w:rFonts w:ascii="黑体" w:hAnsi="黑体" w:eastAsia="宋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518</Words>
  <Characters>2958</Characters>
  <Lines>24</Lines>
  <Paragraphs>6</Paragraphs>
  <TotalTime>1</TotalTime>
  <ScaleCrop>false</ScaleCrop>
  <LinksUpToDate>false</LinksUpToDate>
  <CharactersWithSpaces>3470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2017-10-31T11:18:00Z</dcterms:created>
  <dc:creator>lenovo</dc:creator>
  <cp:lastModifiedBy>ncg-强军</cp:lastModifiedBy>
  <dcterms:modified xsi:type="dcterms:W3CDTF">2018-10-31T02:26:18Z</dcterms:modified>
  <dc:title>Administrator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