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方正小标宋_GBK" w:eastAsia="方正小标宋_GBK"/>
          <w:sz w:val="40"/>
        </w:rPr>
      </w:pPr>
    </w:p>
    <w:p>
      <w:pPr>
        <w:rPr>
          <w:rFonts w:ascii="方正小标宋_GBK" w:eastAsia="方正小标宋_GBK"/>
          <w:sz w:val="40"/>
        </w:rPr>
      </w:pPr>
    </w:p>
    <w:p>
      <w:pPr>
        <w:rPr>
          <w:rFonts w:ascii="方正小标宋_GBK" w:eastAsia="方正小标宋_GBK"/>
          <w:sz w:val="40"/>
        </w:rPr>
      </w:pPr>
    </w:p>
    <w:p>
      <w:pPr>
        <w:jc w:val="center"/>
        <w:rPr>
          <w:rFonts w:hint="eastAsia" w:ascii="方正小标宋简体" w:eastAsia="方正小标宋简体"/>
          <w:w w:val="85"/>
          <w:sz w:val="56"/>
        </w:rPr>
      </w:pPr>
      <w:r>
        <w:rPr>
          <w:rFonts w:hint="eastAsia" w:ascii="方正小标宋简体" w:eastAsia="方正小标宋简体"/>
          <w:w w:val="85"/>
          <w:sz w:val="56"/>
        </w:rPr>
        <w:t>中共濮阳市华龙区纪律检查委员会</w:t>
      </w:r>
    </w:p>
    <w:p>
      <w:pPr>
        <w:jc w:val="center"/>
        <w:rPr>
          <w:rFonts w:hint="eastAsia" w:ascii="方正小标宋简体" w:eastAsia="方正小标宋简体"/>
          <w:spacing w:val="-20"/>
          <w:sz w:val="44"/>
        </w:rPr>
      </w:pPr>
      <w:r>
        <w:rPr>
          <w:rFonts w:hint="eastAsia" w:ascii="方正小标宋简体" w:eastAsia="方正小标宋简体"/>
          <w:w w:val="85"/>
          <w:sz w:val="56"/>
        </w:rPr>
        <w:t>2019年部门预算公开说明</w:t>
      </w: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楷体_GB2312" w:eastAsia="楷体_GB2312"/>
          <w:b/>
          <w:w w:val="90"/>
          <w:sz w:val="40"/>
        </w:rPr>
      </w:pPr>
    </w:p>
    <w:p>
      <w:pPr>
        <w:jc w:val="center"/>
        <w:rPr>
          <w:rFonts w:ascii="方正小标宋_GBK" w:eastAsia="方正小标宋_GBK"/>
          <w:sz w:val="40"/>
        </w:rPr>
      </w:pPr>
      <w:r>
        <w:rPr>
          <w:rFonts w:hint="eastAsia" w:ascii="楷体_GB2312" w:eastAsia="楷体_GB2312"/>
          <w:b/>
          <w:w w:val="90"/>
          <w:sz w:val="40"/>
        </w:rPr>
        <w:t>二</w:t>
      </w:r>
      <w:r>
        <w:rPr>
          <w:rFonts w:hint="eastAsia" w:ascii="宋体" w:hAnsi="宋体" w:cs="宋体"/>
          <w:b/>
          <w:w w:val="90"/>
          <w:sz w:val="40"/>
        </w:rPr>
        <w:t>〇</w:t>
      </w:r>
      <w:r>
        <w:rPr>
          <w:rFonts w:hint="eastAsia" w:ascii="楷体_GB2312" w:hAnsi="楷体_GB2312" w:eastAsia="楷体_GB2312" w:cs="楷体_GB2312"/>
          <w:b/>
          <w:w w:val="90"/>
          <w:sz w:val="40"/>
        </w:rPr>
        <w:t>一九年四月</w:t>
      </w:r>
    </w:p>
    <w:p>
      <w:pPr>
        <w:jc w:val="center"/>
        <w:rPr>
          <w:rFonts w:ascii="方正小标宋_GBK" w:eastAsia="方正小标宋_GBK"/>
          <w:sz w:val="32"/>
        </w:rPr>
      </w:pPr>
      <w:r>
        <w:rPr>
          <w:rFonts w:ascii="方正小标宋_GBK" w:eastAsia="方正小标宋_GBK"/>
          <w:sz w:val="32"/>
        </w:rPr>
        <w:br w:type="page"/>
      </w:r>
    </w:p>
    <w:p>
      <w:pPr>
        <w:pStyle w:val="4"/>
        <w:topLinePunct/>
        <w:spacing w:before="0" w:beforeAutospacing="0" w:after="0" w:afterAutospacing="0" w:line="360" w:lineRule="auto"/>
        <w:jc w:val="center"/>
        <w:rPr>
          <w:rFonts w:ascii="黑体" w:hAnsi="黑体" w:eastAsia="黑体"/>
          <w:sz w:val="44"/>
          <w:szCs w:val="32"/>
        </w:rPr>
      </w:pPr>
      <w:r>
        <w:rPr>
          <w:rFonts w:hint="eastAsia" w:ascii="黑体" w:hAnsi="黑体" w:eastAsia="黑体"/>
          <w:sz w:val="44"/>
          <w:szCs w:val="32"/>
        </w:rPr>
        <w:t>目 录</w:t>
      </w:r>
    </w:p>
    <w:p>
      <w:pPr>
        <w:pStyle w:val="4"/>
        <w:topLinePunct/>
        <w:spacing w:before="0" w:beforeAutospacing="0" w:after="0" w:afterAutospacing="0" w:line="360" w:lineRule="auto"/>
        <w:jc w:val="center"/>
        <w:rPr>
          <w:rFonts w:ascii="黑体" w:hAnsi="黑体" w:eastAsia="黑体"/>
          <w:sz w:val="36"/>
          <w:szCs w:val="32"/>
        </w:rPr>
      </w:pPr>
    </w:p>
    <w:p>
      <w:pPr>
        <w:pStyle w:val="4"/>
        <w:overflowPunct w:val="0"/>
        <w:topLinePunct/>
        <w:spacing w:before="0" w:beforeAutospacing="0" w:after="0" w:afterAutospacing="0" w:line="360" w:lineRule="auto"/>
        <w:ind w:firstLine="640"/>
        <w:jc w:val="both"/>
      </w:pPr>
      <w:r>
        <w:rPr>
          <w:rFonts w:hint="eastAsia" w:ascii="黑体" w:hAnsi="黑体" w:eastAsia="黑体"/>
          <w:sz w:val="32"/>
          <w:szCs w:val="32"/>
        </w:rPr>
        <w:t>第一部分</w:t>
      </w:r>
      <w:r>
        <w:rPr>
          <w:rFonts w:hint="eastAsia"/>
          <w:sz w:val="32"/>
          <w:szCs w:val="32"/>
        </w:rPr>
        <w:t xml:space="preserve"> </w:t>
      </w:r>
      <w:r>
        <w:rPr>
          <w:rFonts w:hint="eastAsia" w:ascii="黑体" w:hAnsi="黑体" w:eastAsia="黑体"/>
          <w:sz w:val="32"/>
          <w:szCs w:val="32"/>
        </w:rPr>
        <w:t>部门概况</w:t>
      </w:r>
      <w:r>
        <w:rPr>
          <w:rFonts w:hint="eastAsia"/>
          <w:sz w:val="32"/>
          <w:szCs w:val="32"/>
        </w:rPr>
        <w:t> </w:t>
      </w:r>
    </w:p>
    <w:p>
      <w:pPr>
        <w:pStyle w:val="4"/>
        <w:overflowPunct w:val="0"/>
        <w:topLinePunct/>
        <w:spacing w:before="0" w:beforeAutospacing="0" w:after="0" w:afterAutospacing="0" w:line="360" w:lineRule="auto"/>
        <w:ind w:firstLine="960"/>
      </w:pPr>
      <w:r>
        <w:rPr>
          <w:rFonts w:hint="eastAsia" w:ascii="仿宋_GB2312" w:eastAsia="仿宋_GB2312"/>
          <w:sz w:val="32"/>
          <w:szCs w:val="32"/>
        </w:rPr>
        <w:t>一、部门主要职责</w:t>
      </w:r>
    </w:p>
    <w:p>
      <w:pPr>
        <w:pStyle w:val="4"/>
        <w:overflowPunct w:val="0"/>
        <w:topLinePunct/>
        <w:spacing w:before="0" w:beforeAutospacing="0" w:after="0" w:afterAutospacing="0" w:line="360" w:lineRule="auto"/>
        <w:ind w:firstLine="960"/>
      </w:pPr>
      <w:r>
        <w:rPr>
          <w:rFonts w:hint="eastAsia" w:ascii="仿宋_GB2312" w:eastAsia="仿宋_GB2312"/>
          <w:sz w:val="32"/>
          <w:szCs w:val="32"/>
        </w:rPr>
        <w:t>二、机构设置情况</w:t>
      </w:r>
    </w:p>
    <w:p>
      <w:pPr>
        <w:pStyle w:val="4"/>
        <w:overflowPunct w:val="0"/>
        <w:topLinePunct/>
        <w:spacing w:before="0" w:beforeAutospacing="0" w:after="0" w:afterAutospacing="0" w:line="360" w:lineRule="auto"/>
        <w:ind w:firstLine="640"/>
        <w:jc w:val="both"/>
        <w:rPr>
          <w:rFonts w:ascii="黑体" w:hAnsi="黑体" w:eastAsia="黑体"/>
          <w:sz w:val="32"/>
          <w:szCs w:val="32"/>
        </w:rPr>
      </w:pPr>
      <w:r>
        <w:rPr>
          <w:rFonts w:hint="eastAsia" w:ascii="黑体" w:hAnsi="黑体" w:eastAsia="黑体"/>
          <w:sz w:val="32"/>
          <w:szCs w:val="32"/>
        </w:rPr>
        <w:t>第二部分 2019年部门预算情况说明</w:t>
      </w:r>
    </w:p>
    <w:p>
      <w:pPr>
        <w:pStyle w:val="4"/>
        <w:overflowPunct w:val="0"/>
        <w:topLinePunct/>
        <w:spacing w:before="0" w:beforeAutospacing="0" w:after="0" w:afterAutospacing="0" w:line="360" w:lineRule="auto"/>
        <w:ind w:firstLine="640"/>
        <w:jc w:val="both"/>
        <w:rPr>
          <w:rFonts w:ascii="黑体" w:hAnsi="黑体" w:eastAsia="黑体"/>
          <w:sz w:val="32"/>
          <w:szCs w:val="32"/>
        </w:rPr>
      </w:pPr>
      <w:r>
        <w:rPr>
          <w:rFonts w:hint="eastAsia" w:ascii="黑体" w:hAnsi="黑体" w:eastAsia="黑体"/>
          <w:sz w:val="32"/>
          <w:szCs w:val="32"/>
        </w:rPr>
        <w:t>第三部分 名词解释</w:t>
      </w:r>
    </w:p>
    <w:p>
      <w:pPr>
        <w:pStyle w:val="4"/>
        <w:overflowPunct w:val="0"/>
        <w:topLinePunct/>
        <w:spacing w:before="0" w:beforeAutospacing="0" w:after="0" w:afterAutospacing="0" w:line="360" w:lineRule="auto"/>
        <w:ind w:firstLine="640"/>
        <w:jc w:val="both"/>
      </w:pPr>
      <w:r>
        <w:rPr>
          <w:rFonts w:hint="eastAsia" w:ascii="黑体" w:hAnsi="黑体" w:eastAsia="黑体"/>
          <w:sz w:val="32"/>
          <w:szCs w:val="32"/>
        </w:rPr>
        <w:t>附件：中共濮阳市华龙区纪律检查委员会2019年部门预算表</w:t>
      </w:r>
    </w:p>
    <w:p>
      <w:pPr>
        <w:pStyle w:val="4"/>
        <w:overflowPunct w:val="0"/>
        <w:topLinePunct/>
        <w:spacing w:before="0" w:beforeAutospacing="0" w:after="0" w:afterAutospacing="0" w:line="360" w:lineRule="auto"/>
        <w:ind w:firstLine="960"/>
      </w:pPr>
      <w:r>
        <w:rPr>
          <w:rFonts w:hint="eastAsia" w:ascii="仿宋_GB2312" w:eastAsia="仿宋_GB2312"/>
          <w:sz w:val="32"/>
          <w:szCs w:val="32"/>
        </w:rPr>
        <w:t>一、部门收支总表</w:t>
      </w:r>
    </w:p>
    <w:p>
      <w:pPr>
        <w:pStyle w:val="4"/>
        <w:overflowPunct w:val="0"/>
        <w:topLinePunct/>
        <w:spacing w:before="0" w:beforeAutospacing="0" w:after="0" w:afterAutospacing="0" w:line="360" w:lineRule="auto"/>
        <w:ind w:firstLine="960"/>
      </w:pPr>
      <w:r>
        <w:rPr>
          <w:rFonts w:hint="eastAsia" w:ascii="仿宋_GB2312" w:eastAsia="仿宋_GB2312"/>
          <w:sz w:val="32"/>
          <w:szCs w:val="32"/>
        </w:rPr>
        <w:t>二、部门收入总表</w:t>
      </w:r>
    </w:p>
    <w:p>
      <w:pPr>
        <w:pStyle w:val="4"/>
        <w:overflowPunct w:val="0"/>
        <w:topLinePunct/>
        <w:spacing w:before="0" w:beforeAutospacing="0" w:after="0" w:afterAutospacing="0" w:line="360" w:lineRule="auto"/>
        <w:ind w:firstLine="960"/>
      </w:pPr>
      <w:r>
        <w:rPr>
          <w:rFonts w:hint="eastAsia" w:ascii="仿宋_GB2312" w:eastAsia="仿宋_GB2312"/>
          <w:sz w:val="32"/>
          <w:szCs w:val="32"/>
        </w:rPr>
        <w:t>三、部门支出总表</w:t>
      </w:r>
    </w:p>
    <w:p>
      <w:pPr>
        <w:pStyle w:val="4"/>
        <w:overflowPunct w:val="0"/>
        <w:topLinePunct/>
        <w:spacing w:before="0" w:beforeAutospacing="0" w:after="0" w:afterAutospacing="0" w:line="360" w:lineRule="auto"/>
        <w:ind w:firstLine="960"/>
      </w:pPr>
      <w:r>
        <w:rPr>
          <w:rFonts w:hint="eastAsia" w:ascii="仿宋_GB2312" w:eastAsia="仿宋_GB2312"/>
          <w:sz w:val="32"/>
          <w:szCs w:val="32"/>
        </w:rPr>
        <w:t>四、财政拨款收支总表</w:t>
      </w:r>
    </w:p>
    <w:p>
      <w:pPr>
        <w:pStyle w:val="4"/>
        <w:overflowPunct w:val="0"/>
        <w:topLinePunct/>
        <w:spacing w:before="0" w:beforeAutospacing="0" w:after="0" w:afterAutospacing="0" w:line="360" w:lineRule="auto"/>
        <w:ind w:firstLine="960"/>
      </w:pPr>
      <w:r>
        <w:rPr>
          <w:rFonts w:hint="eastAsia" w:ascii="仿宋_GB2312" w:eastAsia="仿宋_GB2312"/>
          <w:sz w:val="32"/>
          <w:szCs w:val="32"/>
        </w:rPr>
        <w:t>五、一般公共预算支出表</w:t>
      </w:r>
    </w:p>
    <w:p>
      <w:pPr>
        <w:pStyle w:val="4"/>
        <w:overflowPunct w:val="0"/>
        <w:topLinePunct/>
        <w:spacing w:before="0" w:beforeAutospacing="0" w:after="0" w:afterAutospacing="0" w:line="360" w:lineRule="auto"/>
        <w:ind w:firstLine="960"/>
      </w:pPr>
      <w:r>
        <w:rPr>
          <w:rFonts w:hint="eastAsia" w:ascii="仿宋_GB2312" w:eastAsia="仿宋_GB2312"/>
          <w:sz w:val="32"/>
          <w:szCs w:val="32"/>
        </w:rPr>
        <w:t>六、一般公共预算基本支出表</w:t>
      </w:r>
    </w:p>
    <w:p>
      <w:pPr>
        <w:pStyle w:val="4"/>
        <w:overflowPunct w:val="0"/>
        <w:topLinePunct/>
        <w:spacing w:before="0" w:beforeAutospacing="0" w:after="0" w:afterAutospacing="0" w:line="360" w:lineRule="auto"/>
        <w:ind w:firstLine="960"/>
      </w:pPr>
      <w:r>
        <w:rPr>
          <w:rFonts w:hint="eastAsia" w:ascii="仿宋_GB2312" w:eastAsia="仿宋_GB2312"/>
          <w:sz w:val="32"/>
          <w:szCs w:val="32"/>
        </w:rPr>
        <w:t>七、一般公共预算“三公”经费支出表</w:t>
      </w:r>
    </w:p>
    <w:p>
      <w:pPr>
        <w:pStyle w:val="4"/>
        <w:overflowPunct w:val="0"/>
        <w:topLinePunct/>
        <w:spacing w:before="0" w:beforeAutospacing="0" w:after="0" w:afterAutospacing="0" w:line="360" w:lineRule="auto"/>
        <w:ind w:firstLine="960"/>
      </w:pPr>
      <w:r>
        <w:rPr>
          <w:rFonts w:hint="eastAsia" w:ascii="仿宋_GB2312" w:eastAsia="仿宋_GB2312"/>
          <w:sz w:val="32"/>
          <w:szCs w:val="32"/>
        </w:rPr>
        <w:t>八、政府性基金预算支出表</w:t>
      </w:r>
    </w:p>
    <w:p>
      <w:pPr>
        <w:ind w:firstLine="640" w:firstLineChars="200"/>
        <w:rPr>
          <w:rFonts w:ascii="黑体" w:hAnsi="黑体" w:eastAsia="黑体"/>
          <w:sz w:val="32"/>
          <w:szCs w:val="32"/>
        </w:rPr>
      </w:pPr>
    </w:p>
    <w:p>
      <w:pPr>
        <w:rPr>
          <w:rFonts w:ascii="黑体" w:hAnsi="黑体" w:eastAsia="黑体"/>
          <w:sz w:val="32"/>
          <w:szCs w:val="32"/>
        </w:rPr>
      </w:pPr>
      <w:r>
        <w:rPr>
          <w:rFonts w:ascii="黑体" w:hAnsi="黑体" w:eastAsia="黑体"/>
          <w:sz w:val="32"/>
          <w:szCs w:val="32"/>
        </w:rPr>
        <w:br w:type="page"/>
      </w:r>
    </w:p>
    <w:p>
      <w:pPr>
        <w:ind w:firstLine="640" w:firstLineChars="200"/>
        <w:rPr>
          <w:rFonts w:ascii="黑体" w:hAnsi="黑体" w:eastAsia="黑体"/>
          <w:sz w:val="32"/>
          <w:szCs w:val="32"/>
        </w:rPr>
      </w:pPr>
    </w:p>
    <w:p>
      <w:pPr>
        <w:pStyle w:val="4"/>
        <w:topLinePunct/>
        <w:spacing w:before="0" w:beforeAutospacing="0" w:after="0" w:afterAutospacing="0" w:line="360" w:lineRule="auto"/>
        <w:jc w:val="center"/>
        <w:rPr>
          <w:rFonts w:ascii="Calibri" w:hAnsi="Calibri"/>
          <w:sz w:val="22"/>
          <w:szCs w:val="21"/>
        </w:rPr>
      </w:pPr>
      <w:r>
        <w:rPr>
          <w:rFonts w:hint="eastAsia" w:ascii="黑体" w:hAnsi="黑体" w:eastAsia="黑体"/>
          <w:sz w:val="36"/>
          <w:szCs w:val="32"/>
        </w:rPr>
        <w:t>第一部分</w:t>
      </w:r>
    </w:p>
    <w:p>
      <w:pPr>
        <w:pStyle w:val="4"/>
        <w:topLinePunct/>
        <w:spacing w:before="0" w:beforeAutospacing="0" w:after="0" w:afterAutospacing="0" w:line="360" w:lineRule="auto"/>
        <w:jc w:val="center"/>
        <w:rPr>
          <w:rFonts w:ascii="Calibri" w:hAnsi="Calibri"/>
          <w:sz w:val="22"/>
          <w:szCs w:val="21"/>
        </w:rPr>
      </w:pPr>
      <w:r>
        <w:rPr>
          <w:rFonts w:hint="eastAsia" w:ascii="黑体" w:hAnsi="黑体" w:eastAsia="黑体"/>
          <w:sz w:val="36"/>
          <w:szCs w:val="32"/>
        </w:rPr>
        <w:t>部门概况</w:t>
      </w:r>
    </w:p>
    <w:p>
      <w:pPr>
        <w:ind w:firstLine="640" w:firstLineChars="200"/>
        <w:rPr>
          <w:rFonts w:ascii="黑体" w:hAnsi="黑体" w:eastAsia="黑体"/>
          <w:sz w:val="32"/>
          <w:szCs w:val="32"/>
        </w:rPr>
      </w:pPr>
      <w:r>
        <w:rPr>
          <w:rFonts w:ascii="黑体" w:hAnsi="黑体" w:eastAsia="黑体"/>
          <w:sz w:val="32"/>
          <w:szCs w:val="32"/>
        </w:rPr>
        <w:t> </w:t>
      </w:r>
    </w:p>
    <w:p>
      <w:pPr>
        <w:ind w:firstLine="640" w:firstLineChars="200"/>
        <w:rPr>
          <w:rFonts w:ascii="黑体" w:hAnsi="黑体" w:eastAsia="黑体"/>
          <w:sz w:val="32"/>
          <w:szCs w:val="32"/>
        </w:rPr>
      </w:pPr>
      <w:r>
        <w:rPr>
          <w:rFonts w:hint="eastAsia" w:ascii="黑体" w:hAnsi="黑体" w:eastAsia="黑体"/>
          <w:sz w:val="32"/>
          <w:szCs w:val="32"/>
        </w:rPr>
        <w:t>一、部门主要职责</w:t>
      </w:r>
    </w:p>
    <w:p>
      <w:pPr>
        <w:ind w:firstLine="660" w:firstLineChars="200"/>
        <w:rPr>
          <w:rFonts w:ascii="仿宋" w:hAnsi="仿宋" w:eastAsia="仿宋"/>
          <w:bCs/>
          <w:smallCaps/>
          <w:spacing w:val="5"/>
          <w:sz w:val="32"/>
          <w:szCs w:val="32"/>
        </w:rPr>
      </w:pPr>
      <w:r>
        <w:rPr>
          <w:rFonts w:hint="eastAsia" w:ascii="仿宋" w:hAnsi="仿宋" w:eastAsia="仿宋"/>
          <w:bCs/>
          <w:smallCaps/>
          <w:spacing w:val="5"/>
          <w:sz w:val="32"/>
          <w:szCs w:val="32"/>
        </w:rPr>
        <w:t>区纪委监委机关与省监察厅（加挂区预防腐败局牌子）合署办公，实行一套工作机构，两个机关名称的体质，履行党的纪律检查，政府行政监察两种职能，对区纪委全面负责。区纪律监委机关内设14个职能处室和教育基地，机关服务中心等两个归口预算管理单位。主要职责是：忠诚履行《党章》《宪法》《监察法》赋予的职责，负责贯彻落实党中央、省委、市委、区委关于加强党风廉政建设的决定，维护党的章程和党内其他法规，检查党的路线、方针、政策和决议的执行情况；全区监察工作；调查处理区级党政群机关各部门、各乡镇办的党组织和区委管理的党员干部违反党的章程及其他党内法规的案件，决定给予或取消对这些案件中的党员及其他违纪党员的处分，受理党员的控告和申诉；负责调查处理区政府各部门及其工作人员、区政府及各部门任命的其他人员、乡镇人民政府和街道办事处及其工作人员和其他公职人员违反国家政策、法律、法规以及违反政纪的行为，并根据责任人所犯错误的情节轻重，作出处理或提出处理建议（对涉及选举产生的领导干部按法定程序办理）；管理监察对象对不服政务处分的申诉，受理个人或单位对监察对象违纪行为的检查、控告；负责作出关于维护党纪和决定，制定全区党风党纪教育规划，会同有关部门做好纪检监察工作的方针、政策和法律、法规的宣传工作，教育党员和干部遵纪守法，廉洁奉公；负责组织实施全区副科级以上领导干部廉洁自律工作；对选拔任用党政领导干部工作实行检查监督。</w:t>
      </w:r>
    </w:p>
    <w:p>
      <w:pPr>
        <w:ind w:firstLine="640" w:firstLineChars="200"/>
        <w:rPr>
          <w:rFonts w:ascii="黑体" w:hAnsi="黑体" w:eastAsia="黑体"/>
          <w:sz w:val="32"/>
          <w:szCs w:val="32"/>
        </w:rPr>
      </w:pPr>
      <w:r>
        <w:rPr>
          <w:rFonts w:hint="eastAsia" w:ascii="黑体" w:hAnsi="黑体" w:eastAsia="黑体"/>
          <w:sz w:val="32"/>
          <w:szCs w:val="32"/>
        </w:rPr>
        <w:t>二、机构设置情况</w:t>
      </w:r>
    </w:p>
    <w:p>
      <w:pPr>
        <w:ind w:firstLine="640" w:firstLineChars="200"/>
        <w:rPr>
          <w:rFonts w:ascii="仿宋" w:hAnsi="仿宋" w:eastAsia="仿宋"/>
          <w:sz w:val="32"/>
          <w:szCs w:val="32"/>
        </w:rPr>
      </w:pPr>
      <w:r>
        <w:rPr>
          <w:rFonts w:hint="eastAsia" w:ascii="仿宋" w:hAnsi="仿宋" w:eastAsia="仿宋"/>
          <w:sz w:val="32"/>
          <w:szCs w:val="32"/>
        </w:rPr>
        <w:t>区纪律检查委员会机关内设14个职能处室和一个教育基地分别为：纪委办公室、组织部、宣传部、党风政风监督室、信访室、案件监督管理室、案件审理室、纪检监察干部监督室、第一纪检监察室、第二纪检监察室、第三纪检监察室、第四纪检监察室、第五纪检监察室、第六纪检监察室。无独立核算的下属预算单位，本部门经费实行全额预算管理。</w:t>
      </w:r>
    </w:p>
    <w:p>
      <w:pPr>
        <w:ind w:firstLine="640" w:firstLineChars="200"/>
        <w:rPr>
          <w:rFonts w:ascii="仿宋" w:hAnsi="仿宋" w:eastAsia="仿宋"/>
          <w:sz w:val="32"/>
          <w:szCs w:val="32"/>
        </w:rPr>
      </w:pPr>
    </w:p>
    <w:p>
      <w:pPr>
        <w:ind w:firstLine="640" w:firstLineChars="200"/>
        <w:rPr>
          <w:rFonts w:ascii="黑体" w:hAnsi="黑体" w:eastAsia="黑体"/>
          <w:sz w:val="32"/>
          <w:szCs w:val="32"/>
        </w:rPr>
      </w:pPr>
    </w:p>
    <w:p>
      <w:pPr>
        <w:pStyle w:val="4"/>
        <w:topLinePunct/>
        <w:spacing w:before="0" w:beforeAutospacing="0" w:after="0" w:afterAutospacing="0" w:line="360" w:lineRule="auto"/>
        <w:jc w:val="center"/>
        <w:rPr>
          <w:rFonts w:ascii="Calibri" w:hAnsi="Calibri"/>
          <w:sz w:val="22"/>
          <w:szCs w:val="21"/>
        </w:rPr>
      </w:pPr>
      <w:r>
        <w:rPr>
          <w:rFonts w:hint="eastAsia" w:ascii="黑体" w:hAnsi="黑体" w:eastAsia="黑体"/>
          <w:sz w:val="36"/>
          <w:szCs w:val="32"/>
        </w:rPr>
        <w:t>第二部分</w:t>
      </w:r>
    </w:p>
    <w:p>
      <w:pPr>
        <w:pStyle w:val="4"/>
        <w:topLinePunct/>
        <w:spacing w:before="0" w:beforeAutospacing="0" w:after="0" w:afterAutospacing="0" w:line="360" w:lineRule="auto"/>
        <w:jc w:val="center"/>
        <w:rPr>
          <w:rFonts w:ascii="Calibri" w:hAnsi="Calibri"/>
          <w:sz w:val="22"/>
          <w:szCs w:val="21"/>
        </w:rPr>
      </w:pPr>
      <w:r>
        <w:rPr>
          <w:rFonts w:hint="eastAsia" w:ascii="黑体" w:hAnsi="黑体" w:eastAsia="黑体"/>
          <w:sz w:val="36"/>
          <w:szCs w:val="32"/>
        </w:rPr>
        <w:t>2019年部门预算情况说明</w:t>
      </w:r>
    </w:p>
    <w:p>
      <w:pPr>
        <w:ind w:firstLine="640" w:firstLineChars="200"/>
        <w:rPr>
          <w:rFonts w:ascii="华文仿宋" w:hAnsi="华文仿宋" w:eastAsia="华文仿宋"/>
          <w:sz w:val="32"/>
          <w:szCs w:val="32"/>
        </w:rPr>
      </w:pPr>
    </w:p>
    <w:p>
      <w:pPr>
        <w:ind w:firstLine="640" w:firstLineChars="200"/>
        <w:rPr>
          <w:rFonts w:ascii="黑体" w:hAnsi="黑体" w:eastAsia="黑体"/>
          <w:sz w:val="32"/>
          <w:szCs w:val="32"/>
        </w:rPr>
      </w:pPr>
      <w:r>
        <w:rPr>
          <w:rFonts w:hint="eastAsia" w:ascii="黑体" w:hAnsi="黑体" w:eastAsia="黑体"/>
          <w:sz w:val="32"/>
          <w:szCs w:val="32"/>
        </w:rPr>
        <w:t>一、本级预算和所属单位预算在内的汇总预算总体情况</w:t>
      </w:r>
    </w:p>
    <w:p>
      <w:pPr>
        <w:ind w:firstLine="640" w:firstLineChars="200"/>
        <w:rPr>
          <w:rFonts w:ascii="仿宋" w:hAnsi="仿宋" w:eastAsia="仿宋"/>
          <w:sz w:val="32"/>
          <w:szCs w:val="32"/>
        </w:rPr>
      </w:pPr>
      <w:r>
        <w:rPr>
          <w:rFonts w:hint="eastAsia" w:ascii="仿宋" w:hAnsi="仿宋" w:eastAsia="仿宋"/>
          <w:sz w:val="32"/>
          <w:szCs w:val="32"/>
        </w:rPr>
        <w:t>本部门无独立核算的下属预算单位，部门本级预算即汇总预算。</w:t>
      </w:r>
      <w:r>
        <w:rPr>
          <w:rFonts w:ascii="仿宋" w:hAnsi="仿宋" w:eastAsia="仿宋"/>
          <w:sz w:val="32"/>
          <w:szCs w:val="32"/>
        </w:rPr>
        <w:t>201</w:t>
      </w:r>
      <w:r>
        <w:rPr>
          <w:rFonts w:hint="eastAsia" w:ascii="仿宋" w:hAnsi="仿宋" w:eastAsia="仿宋"/>
          <w:sz w:val="32"/>
          <w:szCs w:val="32"/>
        </w:rPr>
        <w:t>9年本部门财政预算收入总计2002.07万元，支出总计2002.07万元。</w:t>
      </w:r>
    </w:p>
    <w:p>
      <w:pPr>
        <w:ind w:firstLine="640" w:firstLineChars="200"/>
        <w:rPr>
          <w:rFonts w:ascii="黑体" w:hAnsi="黑体" w:eastAsia="黑体"/>
          <w:sz w:val="32"/>
          <w:szCs w:val="32"/>
        </w:rPr>
      </w:pPr>
      <w:r>
        <w:rPr>
          <w:rFonts w:hint="eastAsia" w:ascii="黑体" w:hAnsi="黑体" w:eastAsia="黑体"/>
          <w:sz w:val="32"/>
          <w:szCs w:val="32"/>
        </w:rPr>
        <w:t>二、部门预算收支增减变动情况</w:t>
      </w:r>
    </w:p>
    <w:p>
      <w:pPr>
        <w:keepNext w:val="0"/>
        <w:keepLines w:val="0"/>
        <w:widowControl w:val="0"/>
        <w:suppressLineNumbers w:val="0"/>
        <w:spacing w:before="0" w:beforeAutospacing="0" w:after="0" w:afterAutospacing="0"/>
        <w:ind w:left="0" w:right="0" w:firstLine="640" w:firstLineChars="200"/>
        <w:jc w:val="both"/>
        <w:rPr>
          <w:rFonts w:hint="eastAsia" w:ascii="仿宋" w:hAnsi="仿宋" w:eastAsia="仿宋" w:cs="仿宋"/>
          <w:color w:val="auto"/>
          <w:sz w:val="32"/>
          <w:szCs w:val="32"/>
          <w:lang w:val="en-US"/>
        </w:rPr>
      </w:pPr>
      <w:r>
        <w:rPr>
          <w:rFonts w:hint="eastAsia" w:ascii="仿宋" w:hAnsi="仿宋" w:eastAsia="仿宋" w:cs="仿宋"/>
          <w:color w:val="auto"/>
          <w:kern w:val="2"/>
          <w:sz w:val="32"/>
          <w:szCs w:val="32"/>
          <w:lang w:val="en-US" w:eastAsia="zh-CN" w:bidi="ar"/>
        </w:rPr>
        <w:t>2019年本部门财政预算收入总计2002.07万元，较上年增加689.9万元。其中：财政拨款2002.07万元，无纳入预算管理的行政事业性收费及罚没收入等科目预算收入。</w:t>
      </w:r>
    </w:p>
    <w:p>
      <w:pPr>
        <w:keepNext w:val="0"/>
        <w:keepLines w:val="0"/>
        <w:widowControl w:val="0"/>
        <w:suppressLineNumbers w:val="0"/>
        <w:spacing w:before="0" w:beforeAutospacing="0" w:after="0" w:afterAutospacing="0"/>
        <w:ind w:left="0" w:right="0" w:firstLine="640" w:firstLineChars="200"/>
        <w:jc w:val="both"/>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2019年本部门财政预算支出总计2002.07万元，较上年增加689.9万元。主要原因是由于</w:t>
      </w:r>
      <w:bookmarkStart w:id="0" w:name="_Hlk59024293"/>
      <w:r>
        <w:rPr>
          <w:rFonts w:hint="eastAsia" w:ascii="仿宋" w:hAnsi="仿宋" w:eastAsia="仿宋" w:cs="仿宋"/>
          <w:color w:val="auto"/>
          <w:kern w:val="2"/>
          <w:sz w:val="32"/>
          <w:szCs w:val="32"/>
          <w:lang w:val="en-US" w:eastAsia="zh-CN" w:bidi="ar"/>
        </w:rPr>
        <w:t>执纪办案看护特勤大队劳务及工作经费增加。</w:t>
      </w:r>
    </w:p>
    <w:p>
      <w:pPr>
        <w:keepNext w:val="0"/>
        <w:keepLines w:val="0"/>
        <w:widowControl w:val="0"/>
        <w:suppressLineNumbers w:val="0"/>
        <w:spacing w:before="0" w:beforeAutospacing="0" w:after="0" w:afterAutospacing="0"/>
        <w:ind w:left="0" w:right="0" w:firstLine="640" w:firstLineChars="200"/>
        <w:jc w:val="both"/>
        <w:rPr>
          <w:rFonts w:hint="eastAsia" w:ascii="仿宋" w:hAnsi="仿宋" w:eastAsia="仿宋" w:cs="仿宋"/>
          <w:color w:val="auto"/>
          <w:sz w:val="32"/>
          <w:szCs w:val="32"/>
          <w:lang w:val="en-US"/>
        </w:rPr>
      </w:pPr>
      <w:r>
        <w:rPr>
          <w:rFonts w:hint="eastAsia" w:ascii="仿宋" w:hAnsi="仿宋" w:eastAsia="仿宋" w:cs="仿宋"/>
          <w:color w:val="auto"/>
          <w:kern w:val="2"/>
          <w:sz w:val="32"/>
          <w:szCs w:val="32"/>
          <w:lang w:val="en-US" w:eastAsia="zh-CN" w:bidi="ar"/>
        </w:rPr>
        <w:t>2019年本部门财政拨款</w:t>
      </w:r>
      <w:bookmarkEnd w:id="0"/>
      <w:r>
        <w:rPr>
          <w:rFonts w:hint="eastAsia" w:ascii="仿宋" w:hAnsi="仿宋" w:eastAsia="仿宋" w:cs="仿宋"/>
          <w:color w:val="auto"/>
          <w:kern w:val="2"/>
          <w:sz w:val="32"/>
          <w:szCs w:val="32"/>
          <w:lang w:val="en-US" w:eastAsia="zh-CN" w:bidi="ar"/>
        </w:rPr>
        <w:t>收入总计2002.07万元，全部为一般公共预算拨款。2019年本部门财政拨款安排的支出2002.07万元，其中：基本支出950.67万元，占比47.5%，项目支出1051.4万元，占比52.5%。</w:t>
      </w:r>
    </w:p>
    <w:p>
      <w:pPr>
        <w:keepNext w:val="0"/>
        <w:keepLines w:val="0"/>
        <w:widowControl w:val="0"/>
        <w:suppressLineNumbers w:val="0"/>
        <w:spacing w:before="0" w:beforeAutospacing="0" w:after="0" w:afterAutospacing="0"/>
        <w:ind w:left="0" w:right="0" w:firstLine="640" w:firstLineChars="200"/>
        <w:jc w:val="both"/>
        <w:rPr>
          <w:rFonts w:hint="eastAsia" w:ascii="仿宋" w:hAnsi="仿宋" w:eastAsia="仿宋" w:cs="仿宋"/>
          <w:color w:val="auto"/>
          <w:sz w:val="32"/>
          <w:szCs w:val="32"/>
          <w:lang w:val="en-US"/>
        </w:rPr>
      </w:pPr>
      <w:r>
        <w:rPr>
          <w:rFonts w:hint="eastAsia" w:ascii="仿宋" w:hAnsi="仿宋" w:eastAsia="仿宋" w:cs="仿宋"/>
          <w:color w:val="auto"/>
          <w:kern w:val="2"/>
          <w:sz w:val="32"/>
          <w:szCs w:val="32"/>
          <w:lang w:val="en-US" w:eastAsia="zh-CN" w:bidi="ar"/>
        </w:rPr>
        <w:t>2019年本部门一般公共预算支出总计2002.07万元，主要用于一般公共服务支出、社会保障和就业支出、卫生健康支出、住房保障支出等科目，其中：</w:t>
      </w:r>
      <w:bookmarkStart w:id="1" w:name="_Hlk59024324"/>
      <w:r>
        <w:rPr>
          <w:rFonts w:hint="eastAsia" w:ascii="仿宋" w:hAnsi="仿宋" w:eastAsia="仿宋" w:cs="仿宋"/>
          <w:color w:val="auto"/>
          <w:kern w:val="2"/>
          <w:sz w:val="32"/>
          <w:szCs w:val="32"/>
          <w:lang w:val="en-US" w:eastAsia="zh-CN" w:bidi="ar"/>
        </w:rPr>
        <w:t>基本支出950.67万元，项目支出1051.4万元</w:t>
      </w:r>
      <w:bookmarkEnd w:id="1"/>
      <w:r>
        <w:rPr>
          <w:rFonts w:hint="eastAsia" w:ascii="仿宋" w:hAnsi="仿宋" w:eastAsia="仿宋" w:cs="仿宋"/>
          <w:color w:val="auto"/>
          <w:kern w:val="2"/>
          <w:sz w:val="32"/>
          <w:szCs w:val="32"/>
          <w:lang w:val="en-US" w:eastAsia="zh-CN" w:bidi="ar"/>
        </w:rPr>
        <w:t>。</w:t>
      </w:r>
    </w:p>
    <w:p>
      <w:pPr>
        <w:keepNext w:val="0"/>
        <w:keepLines w:val="0"/>
        <w:widowControl w:val="0"/>
        <w:suppressLineNumbers w:val="0"/>
        <w:spacing w:before="0" w:beforeAutospacing="0" w:after="0" w:afterAutospacing="0"/>
        <w:ind w:left="0" w:right="0" w:firstLine="640" w:firstLineChars="200"/>
        <w:jc w:val="both"/>
        <w:rPr>
          <w:rFonts w:hint="eastAsia" w:ascii="仿宋" w:hAnsi="仿宋" w:eastAsia="仿宋"/>
          <w:color w:val="auto"/>
          <w:sz w:val="32"/>
          <w:szCs w:val="32"/>
        </w:rPr>
      </w:pPr>
      <w:r>
        <w:rPr>
          <w:rFonts w:hint="eastAsia" w:ascii="仿宋" w:hAnsi="仿宋" w:eastAsia="仿宋" w:cs="仿宋"/>
          <w:color w:val="auto"/>
          <w:kern w:val="2"/>
          <w:sz w:val="32"/>
          <w:szCs w:val="32"/>
          <w:lang w:val="en-US" w:eastAsia="zh-CN" w:bidi="ar"/>
        </w:rPr>
        <w:t>2019年本部门基本支出合计950.67万元。其中：人员经费893.27万元，主要用于基本工资、绩效工资、机关事业单位基本养老保险缴费、职工基本医疗保险缴费、住房公积金等工资福利支出；公用经费57.4万元，主要用于维持机关正常运行。</w:t>
      </w:r>
    </w:p>
    <w:p>
      <w:pPr>
        <w:ind w:firstLine="640" w:firstLineChars="200"/>
        <w:rPr>
          <w:rFonts w:ascii="黑体" w:hAnsi="黑体" w:eastAsia="黑体"/>
          <w:sz w:val="32"/>
          <w:szCs w:val="32"/>
        </w:rPr>
      </w:pPr>
      <w:r>
        <w:rPr>
          <w:rFonts w:hint="eastAsia" w:ascii="黑体" w:hAnsi="黑体" w:eastAsia="黑体"/>
          <w:sz w:val="32"/>
          <w:szCs w:val="32"/>
        </w:rPr>
        <w:t>三、机关运行经费安排情况</w:t>
      </w:r>
    </w:p>
    <w:p>
      <w:pPr>
        <w:ind w:firstLine="640" w:firstLineChars="200"/>
        <w:rPr>
          <w:rFonts w:ascii="仿宋" w:hAnsi="仿宋" w:eastAsia="仿宋"/>
          <w:sz w:val="32"/>
          <w:szCs w:val="32"/>
        </w:rPr>
      </w:pPr>
      <w:r>
        <w:rPr>
          <w:rFonts w:ascii="仿宋" w:hAnsi="仿宋" w:eastAsia="仿宋"/>
          <w:sz w:val="32"/>
          <w:szCs w:val="32"/>
        </w:rPr>
        <w:t>201</w:t>
      </w:r>
      <w:r>
        <w:rPr>
          <w:rFonts w:hint="eastAsia" w:ascii="仿宋" w:hAnsi="仿宋" w:eastAsia="仿宋"/>
          <w:sz w:val="32"/>
          <w:szCs w:val="32"/>
        </w:rPr>
        <w:t>9年本部门机关运行经费安排57.4万元，主要用于办公费、会议费、三公经费等全区纪检监察工作，深入贯彻落实中央八项规定和厉行节约有关精神。</w:t>
      </w:r>
    </w:p>
    <w:p>
      <w:pPr>
        <w:ind w:firstLine="640" w:firstLineChars="200"/>
        <w:rPr>
          <w:rFonts w:ascii="黑体" w:hAnsi="黑体" w:eastAsia="黑体"/>
          <w:sz w:val="32"/>
          <w:szCs w:val="32"/>
        </w:rPr>
      </w:pPr>
      <w:r>
        <w:rPr>
          <w:rFonts w:hint="eastAsia" w:ascii="黑体" w:hAnsi="黑体" w:eastAsia="黑体"/>
          <w:sz w:val="32"/>
          <w:szCs w:val="32"/>
        </w:rPr>
        <w:t>四、“三公”经费安排情况</w:t>
      </w:r>
    </w:p>
    <w:p>
      <w:pPr>
        <w:ind w:firstLine="640" w:firstLineChars="200"/>
        <w:rPr>
          <w:rFonts w:ascii="仿宋" w:hAnsi="仿宋" w:eastAsia="仿宋"/>
          <w:color w:val="auto"/>
          <w:sz w:val="32"/>
          <w:szCs w:val="32"/>
        </w:rPr>
      </w:pPr>
      <w:r>
        <w:rPr>
          <w:rFonts w:ascii="仿宋" w:hAnsi="仿宋" w:eastAsia="仿宋"/>
          <w:sz w:val="32"/>
          <w:szCs w:val="32"/>
        </w:rPr>
        <w:t>201</w:t>
      </w:r>
      <w:r>
        <w:rPr>
          <w:rFonts w:hint="eastAsia" w:ascii="仿宋" w:hAnsi="仿宋" w:eastAsia="仿宋"/>
          <w:sz w:val="32"/>
          <w:szCs w:val="32"/>
        </w:rPr>
        <w:t>9年本部门“三公”经费预算87.4万</w:t>
      </w:r>
      <w:bookmarkStart w:id="2" w:name="_GoBack"/>
      <w:bookmarkEnd w:id="2"/>
      <w:r>
        <w:rPr>
          <w:rFonts w:hint="eastAsia" w:ascii="仿宋" w:hAnsi="仿宋" w:eastAsia="仿宋"/>
          <w:sz w:val="32"/>
          <w:szCs w:val="32"/>
        </w:rPr>
        <w:t>元</w:t>
      </w:r>
      <w:r>
        <w:rPr>
          <w:rFonts w:hint="eastAsia" w:ascii="仿宋" w:hAnsi="仿宋" w:eastAsia="仿宋"/>
          <w:color w:val="auto"/>
          <w:sz w:val="32"/>
          <w:szCs w:val="32"/>
        </w:rPr>
        <w:t>，较</w:t>
      </w:r>
      <w:r>
        <w:rPr>
          <w:rFonts w:hint="eastAsia" w:ascii="仿宋" w:hAnsi="仿宋" w:eastAsia="仿宋"/>
          <w:color w:val="auto"/>
          <w:sz w:val="32"/>
          <w:szCs w:val="32"/>
          <w:lang w:val="en-US" w:eastAsia="zh-CN"/>
        </w:rPr>
        <w:t>上年增加84.45万元，</w:t>
      </w:r>
      <w:r>
        <w:rPr>
          <w:rFonts w:hint="eastAsia" w:ascii="仿宋" w:hAnsi="仿宋" w:eastAsia="仿宋"/>
          <w:color w:val="auto"/>
          <w:sz w:val="32"/>
          <w:szCs w:val="32"/>
        </w:rPr>
        <w:t>主要原因是</w:t>
      </w:r>
      <w:r>
        <w:rPr>
          <w:rFonts w:hint="eastAsia" w:ascii="仿宋" w:hAnsi="仿宋" w:eastAsia="仿宋"/>
          <w:color w:val="auto"/>
          <w:sz w:val="32"/>
          <w:szCs w:val="32"/>
          <w:lang w:val="en-US" w:eastAsia="zh-CN"/>
        </w:rPr>
        <w:t>购置公务用车，公车运行与维护费用相应增加，办案数量增加</w:t>
      </w:r>
      <w:r>
        <w:rPr>
          <w:rFonts w:hint="eastAsia" w:ascii="仿宋" w:hAnsi="仿宋" w:eastAsia="仿宋"/>
          <w:color w:val="auto"/>
          <w:sz w:val="32"/>
          <w:szCs w:val="32"/>
        </w:rPr>
        <w:t>。</w:t>
      </w:r>
    </w:p>
    <w:p>
      <w:pPr>
        <w:ind w:firstLine="640" w:firstLineChars="200"/>
        <w:rPr>
          <w:rFonts w:ascii="仿宋" w:hAnsi="仿宋" w:eastAsia="仿宋"/>
          <w:color w:val="auto"/>
          <w:sz w:val="32"/>
          <w:szCs w:val="32"/>
        </w:rPr>
      </w:pPr>
      <w:r>
        <w:rPr>
          <w:rFonts w:hint="eastAsia" w:ascii="仿宋" w:hAnsi="仿宋" w:eastAsia="仿宋"/>
          <w:color w:val="auto"/>
          <w:sz w:val="32"/>
          <w:szCs w:val="32"/>
        </w:rPr>
        <w:t>1.因公出国（境）费0万元</w:t>
      </w:r>
      <w:r>
        <w:rPr>
          <w:rFonts w:hint="eastAsia" w:ascii="仿宋" w:hAnsi="仿宋" w:eastAsia="仿宋"/>
          <w:color w:val="auto"/>
          <w:sz w:val="32"/>
          <w:szCs w:val="32"/>
          <w:lang w:eastAsia="zh-CN"/>
        </w:rPr>
        <w:t>，</w:t>
      </w:r>
      <w:r>
        <w:rPr>
          <w:rFonts w:hint="eastAsia" w:ascii="仿宋" w:hAnsi="仿宋" w:eastAsia="仿宋" w:cs="Times New Roman"/>
          <w:color w:val="auto"/>
          <w:kern w:val="2"/>
          <w:sz w:val="32"/>
          <w:szCs w:val="32"/>
          <w:lang w:val="en-US" w:eastAsia="zh-CN" w:bidi="ar"/>
        </w:rPr>
        <w:t>与上年持平</w:t>
      </w:r>
      <w:r>
        <w:rPr>
          <w:rFonts w:hint="eastAsia" w:ascii="仿宋" w:hAnsi="仿宋" w:eastAsia="仿宋"/>
          <w:color w:val="auto"/>
          <w:sz w:val="32"/>
          <w:szCs w:val="32"/>
        </w:rPr>
        <w:t>；</w:t>
      </w:r>
    </w:p>
    <w:p>
      <w:pPr>
        <w:ind w:firstLine="640" w:firstLineChars="200"/>
        <w:rPr>
          <w:rFonts w:ascii="仿宋" w:hAnsi="仿宋" w:eastAsia="仿宋"/>
          <w:color w:val="auto"/>
          <w:sz w:val="32"/>
          <w:szCs w:val="32"/>
        </w:rPr>
      </w:pPr>
      <w:r>
        <w:rPr>
          <w:rFonts w:hint="eastAsia" w:ascii="仿宋" w:hAnsi="仿宋" w:eastAsia="仿宋"/>
          <w:color w:val="auto"/>
          <w:sz w:val="32"/>
          <w:szCs w:val="32"/>
        </w:rPr>
        <w:t>2.公务用车购置及运行费85万元，</w:t>
      </w:r>
      <w:r>
        <w:rPr>
          <w:rFonts w:hint="eastAsia" w:ascii="仿宋" w:hAnsi="仿宋" w:eastAsia="仿宋"/>
          <w:color w:val="auto"/>
          <w:sz w:val="32"/>
          <w:szCs w:val="32"/>
          <w:lang w:val="en-US" w:eastAsia="zh-CN"/>
        </w:rPr>
        <w:t>较上年增加83万元，</w:t>
      </w:r>
      <w:r>
        <w:rPr>
          <w:rFonts w:hint="eastAsia" w:ascii="仿宋" w:hAnsi="仿宋" w:eastAsia="仿宋"/>
          <w:color w:val="auto"/>
          <w:sz w:val="32"/>
          <w:szCs w:val="32"/>
        </w:rPr>
        <w:t>其中：公务用车购置50万元，公务用车运行费35万元。</w:t>
      </w:r>
    </w:p>
    <w:p>
      <w:pPr>
        <w:ind w:firstLine="640" w:firstLineChars="200"/>
        <w:rPr>
          <w:rFonts w:ascii="仿宋" w:hAnsi="仿宋" w:eastAsia="仿宋"/>
          <w:color w:val="auto"/>
          <w:sz w:val="32"/>
          <w:szCs w:val="32"/>
        </w:rPr>
      </w:pPr>
      <w:r>
        <w:rPr>
          <w:rFonts w:hint="eastAsia" w:ascii="仿宋" w:hAnsi="仿宋" w:eastAsia="仿宋"/>
          <w:color w:val="auto"/>
          <w:sz w:val="32"/>
          <w:szCs w:val="32"/>
        </w:rPr>
        <w:t>3.公务接待费2.4万元</w:t>
      </w:r>
      <w:r>
        <w:rPr>
          <w:rFonts w:hint="eastAsia" w:ascii="仿宋" w:hAnsi="仿宋" w:eastAsia="仿宋"/>
          <w:color w:val="auto"/>
          <w:sz w:val="32"/>
          <w:szCs w:val="32"/>
          <w:lang w:eastAsia="zh-CN"/>
        </w:rPr>
        <w:t>，</w:t>
      </w:r>
      <w:r>
        <w:rPr>
          <w:rFonts w:hint="eastAsia" w:ascii="仿宋" w:hAnsi="仿宋" w:eastAsia="仿宋"/>
          <w:color w:val="auto"/>
          <w:sz w:val="32"/>
          <w:szCs w:val="32"/>
          <w:lang w:val="en-US" w:eastAsia="zh-CN"/>
        </w:rPr>
        <w:t>较上年增加1.45万元</w:t>
      </w:r>
      <w:r>
        <w:rPr>
          <w:rFonts w:hint="eastAsia" w:ascii="仿宋" w:hAnsi="仿宋" w:eastAsia="仿宋"/>
          <w:color w:val="auto"/>
          <w:sz w:val="32"/>
          <w:szCs w:val="32"/>
        </w:rPr>
        <w:t>。</w:t>
      </w:r>
    </w:p>
    <w:p>
      <w:pPr>
        <w:ind w:firstLine="640" w:firstLineChars="200"/>
        <w:rPr>
          <w:rFonts w:ascii="仿宋" w:hAnsi="仿宋" w:eastAsia="仿宋"/>
          <w:sz w:val="32"/>
          <w:szCs w:val="32"/>
        </w:rPr>
      </w:pPr>
      <w:r>
        <w:rPr>
          <w:rFonts w:hint="eastAsia" w:ascii="黑体" w:hAnsi="黑体" w:eastAsia="黑体"/>
          <w:sz w:val="32"/>
          <w:szCs w:val="32"/>
        </w:rPr>
        <w:t>五、政府采购安排情况</w:t>
      </w:r>
    </w:p>
    <w:p>
      <w:pPr>
        <w:ind w:firstLine="640" w:firstLineChars="200"/>
        <w:rPr>
          <w:rFonts w:ascii="仿宋" w:hAnsi="仿宋" w:eastAsia="仿宋"/>
          <w:sz w:val="32"/>
          <w:szCs w:val="32"/>
        </w:rPr>
      </w:pPr>
      <w:r>
        <w:rPr>
          <w:rFonts w:ascii="仿宋" w:hAnsi="仿宋" w:eastAsia="仿宋"/>
          <w:sz w:val="32"/>
          <w:szCs w:val="32"/>
        </w:rPr>
        <w:t>201</w:t>
      </w:r>
      <w:r>
        <w:rPr>
          <w:rFonts w:hint="eastAsia" w:ascii="仿宋" w:hAnsi="仿宋" w:eastAsia="仿宋"/>
          <w:sz w:val="32"/>
          <w:szCs w:val="32"/>
        </w:rPr>
        <w:t>9年本部门无政府采购预算安排。</w:t>
      </w:r>
    </w:p>
    <w:p>
      <w:pPr>
        <w:ind w:firstLine="640" w:firstLineChars="200"/>
        <w:rPr>
          <w:rFonts w:ascii="黑体" w:hAnsi="黑体" w:eastAsia="黑体"/>
          <w:sz w:val="32"/>
          <w:szCs w:val="32"/>
        </w:rPr>
      </w:pPr>
      <w:r>
        <w:rPr>
          <w:rFonts w:hint="eastAsia" w:ascii="黑体" w:hAnsi="黑体" w:eastAsia="黑体"/>
          <w:sz w:val="32"/>
          <w:szCs w:val="32"/>
        </w:rPr>
        <w:t>六、政府性基金预算安排情况</w:t>
      </w:r>
    </w:p>
    <w:p>
      <w:pPr>
        <w:keepNext w:val="0"/>
        <w:keepLines w:val="0"/>
        <w:widowControl w:val="0"/>
        <w:suppressLineNumbers w:val="0"/>
        <w:spacing w:before="0" w:beforeAutospacing="0" w:after="0" w:afterAutospacing="0"/>
        <w:ind w:left="0" w:right="0" w:firstLine="640" w:firstLineChars="200"/>
        <w:jc w:val="both"/>
        <w:rPr>
          <w:rFonts w:hint="eastAsia" w:ascii="仿宋" w:hAnsi="仿宋" w:eastAsia="仿宋" w:cs="仿宋"/>
          <w:color w:val="auto"/>
          <w:sz w:val="32"/>
          <w:szCs w:val="32"/>
          <w:lang w:val="en-US"/>
        </w:rPr>
      </w:pPr>
      <w:r>
        <w:rPr>
          <w:rFonts w:hint="eastAsia" w:ascii="仿宋" w:hAnsi="仿宋" w:eastAsia="仿宋" w:cs="仿宋"/>
          <w:color w:val="auto"/>
          <w:kern w:val="2"/>
          <w:sz w:val="32"/>
          <w:szCs w:val="32"/>
          <w:lang w:val="en-US" w:eastAsia="zh-CN" w:bidi="ar"/>
        </w:rPr>
        <w:t>本部门无政府性基金预算收支安排，较上年无变动。</w:t>
      </w:r>
    </w:p>
    <w:p>
      <w:pPr>
        <w:ind w:firstLine="640" w:firstLineChars="200"/>
        <w:rPr>
          <w:rFonts w:ascii="黑体" w:hAnsi="黑体" w:eastAsia="黑体"/>
          <w:sz w:val="32"/>
          <w:szCs w:val="32"/>
        </w:rPr>
      </w:pPr>
      <w:r>
        <w:rPr>
          <w:rFonts w:hint="eastAsia" w:ascii="黑体" w:hAnsi="黑体" w:eastAsia="黑体"/>
          <w:sz w:val="32"/>
          <w:szCs w:val="32"/>
        </w:rPr>
        <w:t>七、</w:t>
      </w:r>
      <w:r>
        <w:rPr>
          <w:rFonts w:ascii="黑体" w:hAnsi="黑体" w:eastAsia="黑体"/>
          <w:sz w:val="32"/>
          <w:szCs w:val="32"/>
        </w:rPr>
        <w:t>国有资产占用情况</w:t>
      </w:r>
    </w:p>
    <w:p>
      <w:pPr>
        <w:ind w:firstLine="640" w:firstLineChars="200"/>
        <w:rPr>
          <w:rFonts w:ascii="仿宋" w:hAnsi="仿宋" w:eastAsia="仿宋"/>
          <w:sz w:val="32"/>
          <w:szCs w:val="32"/>
        </w:rPr>
      </w:pPr>
      <w:r>
        <w:rPr>
          <w:rFonts w:ascii="仿宋" w:hAnsi="仿宋" w:eastAsia="仿宋"/>
          <w:sz w:val="32"/>
          <w:szCs w:val="32"/>
        </w:rPr>
        <w:t>截止201</w:t>
      </w:r>
      <w:r>
        <w:rPr>
          <w:rFonts w:hint="eastAsia" w:ascii="仿宋" w:hAnsi="仿宋" w:eastAsia="仿宋"/>
          <w:sz w:val="32"/>
          <w:szCs w:val="32"/>
        </w:rPr>
        <w:t>8年末，本部门共有车辆4辆，其中：一般公务用车4辆，一般执法执勤用车0辆、特种专业技术用车0辆，其他用车0辆；单位价值50万元以上通用设备0台（套），单位价值100万元以上专用设备0台（套）。</w:t>
      </w:r>
    </w:p>
    <w:p>
      <w:pPr>
        <w:ind w:firstLine="640" w:firstLineChars="200"/>
        <w:rPr>
          <w:rFonts w:ascii="黑体" w:hAnsi="黑体" w:eastAsia="黑体"/>
          <w:sz w:val="32"/>
          <w:szCs w:val="32"/>
        </w:rPr>
      </w:pPr>
      <w:r>
        <w:rPr>
          <w:rFonts w:hint="eastAsia" w:ascii="黑体" w:hAnsi="黑体" w:eastAsia="黑体"/>
          <w:sz w:val="32"/>
          <w:szCs w:val="32"/>
        </w:rPr>
        <w:t>八、预算绩效管理工作开展情况</w:t>
      </w:r>
    </w:p>
    <w:p>
      <w:pPr>
        <w:ind w:firstLine="640" w:firstLineChars="200"/>
        <w:rPr>
          <w:rFonts w:ascii="仿宋" w:hAnsi="仿宋" w:eastAsia="仿宋"/>
          <w:sz w:val="32"/>
          <w:szCs w:val="32"/>
        </w:rPr>
      </w:pPr>
      <w:r>
        <w:rPr>
          <w:rFonts w:hint="eastAsia" w:ascii="仿宋" w:hAnsi="仿宋" w:eastAsia="仿宋"/>
          <w:sz w:val="32"/>
          <w:szCs w:val="32"/>
        </w:rPr>
        <w:t>按照《濮阳市华龙区财政局关于编制区级2019年部门预算（草案）和2019-2021年财政规划的通知》（华龙财〔2018〕105号）有关全面推进预算绩效管理方面的要求，本部门牢固树立“讲绩效、重绩效、用绩效”的绩效管理理念，年度预算申报时，针对政策及重点项目逐项设立并报送了预算绩效目标，努力建立健全以结果为导向的预算绩效管理工作机制。</w:t>
      </w:r>
    </w:p>
    <w:p>
      <w:pPr>
        <w:ind w:firstLine="640" w:firstLineChars="200"/>
        <w:rPr>
          <w:rFonts w:ascii="黑体" w:hAnsi="黑体" w:eastAsia="黑体"/>
          <w:sz w:val="32"/>
          <w:szCs w:val="32"/>
        </w:rPr>
      </w:pPr>
    </w:p>
    <w:p>
      <w:pPr>
        <w:ind w:firstLine="640" w:firstLineChars="200"/>
        <w:rPr>
          <w:rFonts w:ascii="黑体" w:hAnsi="黑体" w:eastAsia="黑体"/>
          <w:sz w:val="32"/>
          <w:szCs w:val="32"/>
        </w:rPr>
      </w:pPr>
    </w:p>
    <w:p>
      <w:pPr>
        <w:pStyle w:val="4"/>
        <w:topLinePunct/>
        <w:spacing w:before="0" w:beforeAutospacing="0" w:after="0" w:afterAutospacing="0" w:line="360" w:lineRule="auto"/>
        <w:jc w:val="center"/>
        <w:rPr>
          <w:rFonts w:ascii="Calibri" w:hAnsi="Calibri"/>
          <w:sz w:val="22"/>
          <w:szCs w:val="21"/>
        </w:rPr>
      </w:pPr>
      <w:r>
        <w:rPr>
          <w:rFonts w:hint="eastAsia" w:ascii="黑体" w:hAnsi="黑体" w:eastAsia="黑体"/>
          <w:sz w:val="36"/>
          <w:szCs w:val="32"/>
        </w:rPr>
        <w:t>第三部分</w:t>
      </w:r>
    </w:p>
    <w:p>
      <w:pPr>
        <w:pStyle w:val="4"/>
        <w:topLinePunct/>
        <w:spacing w:before="0" w:beforeAutospacing="0" w:after="0" w:afterAutospacing="0" w:line="360" w:lineRule="auto"/>
        <w:jc w:val="center"/>
        <w:rPr>
          <w:rFonts w:ascii="Calibri" w:hAnsi="Calibri"/>
          <w:sz w:val="22"/>
          <w:szCs w:val="21"/>
        </w:rPr>
      </w:pPr>
      <w:r>
        <w:rPr>
          <w:rFonts w:hint="eastAsia" w:ascii="黑体" w:hAnsi="黑体" w:eastAsia="黑体"/>
          <w:sz w:val="36"/>
          <w:szCs w:val="32"/>
        </w:rPr>
        <w:t>名词解释</w:t>
      </w:r>
    </w:p>
    <w:p>
      <w:pPr>
        <w:ind w:firstLine="640" w:firstLineChars="200"/>
        <w:rPr>
          <w:rFonts w:ascii="仿宋" w:hAnsi="仿宋" w:eastAsia="仿宋"/>
          <w:sz w:val="32"/>
          <w:szCs w:val="32"/>
        </w:rPr>
      </w:pPr>
    </w:p>
    <w:p>
      <w:pPr>
        <w:ind w:firstLine="640"/>
        <w:rPr>
          <w:rFonts w:ascii="黑体" w:hAnsi="黑体" w:eastAsia="黑体"/>
          <w:sz w:val="32"/>
          <w:szCs w:val="32"/>
        </w:rPr>
      </w:pPr>
      <w:r>
        <w:rPr>
          <w:rFonts w:hint="eastAsia" w:ascii="黑体" w:hAnsi="黑体" w:eastAsia="黑体"/>
          <w:sz w:val="32"/>
          <w:szCs w:val="32"/>
        </w:rPr>
        <w:t>一、财政拨款收入</w:t>
      </w:r>
    </w:p>
    <w:p>
      <w:pPr>
        <w:ind w:firstLine="640"/>
        <w:rPr>
          <w:rFonts w:ascii="仿宋" w:hAnsi="仿宋" w:eastAsia="仿宋"/>
          <w:sz w:val="32"/>
          <w:szCs w:val="32"/>
        </w:rPr>
      </w:pPr>
      <w:r>
        <w:rPr>
          <w:rFonts w:hint="eastAsia" w:ascii="仿宋" w:hAnsi="仿宋" w:eastAsia="仿宋"/>
          <w:sz w:val="32"/>
          <w:szCs w:val="32"/>
        </w:rPr>
        <w:t>指本级财政当年拨付的资金。</w:t>
      </w:r>
    </w:p>
    <w:p>
      <w:pPr>
        <w:ind w:firstLine="640"/>
        <w:rPr>
          <w:rFonts w:ascii="黑体" w:hAnsi="黑体" w:eastAsia="黑体"/>
          <w:sz w:val="32"/>
          <w:szCs w:val="32"/>
        </w:rPr>
      </w:pPr>
      <w:r>
        <w:rPr>
          <w:rFonts w:hint="eastAsia" w:ascii="黑体" w:hAnsi="黑体" w:eastAsia="黑体"/>
          <w:sz w:val="32"/>
          <w:szCs w:val="32"/>
        </w:rPr>
        <w:t>二、事业收入</w:t>
      </w:r>
    </w:p>
    <w:p>
      <w:pPr>
        <w:ind w:firstLine="640" w:firstLineChars="200"/>
        <w:rPr>
          <w:rFonts w:ascii="仿宋" w:hAnsi="仿宋" w:eastAsia="仿宋"/>
          <w:sz w:val="32"/>
          <w:szCs w:val="32"/>
        </w:rPr>
      </w:pPr>
      <w:r>
        <w:rPr>
          <w:rFonts w:hint="eastAsia" w:ascii="仿宋" w:hAnsi="仿宋" w:eastAsia="仿宋"/>
          <w:sz w:val="32"/>
          <w:szCs w:val="32"/>
        </w:rPr>
        <w:t>指事业单位开展专务活动及辅助所取得的收入。</w:t>
      </w:r>
    </w:p>
    <w:p>
      <w:pPr>
        <w:ind w:firstLine="640"/>
        <w:rPr>
          <w:rFonts w:ascii="黑体" w:hAnsi="黑体" w:eastAsia="黑体"/>
          <w:sz w:val="32"/>
          <w:szCs w:val="32"/>
        </w:rPr>
      </w:pPr>
      <w:r>
        <w:rPr>
          <w:rFonts w:hint="eastAsia" w:ascii="黑体" w:hAnsi="黑体" w:eastAsia="黑体"/>
          <w:sz w:val="32"/>
          <w:szCs w:val="32"/>
        </w:rPr>
        <w:t>三、其他收入</w:t>
      </w:r>
    </w:p>
    <w:p>
      <w:pPr>
        <w:ind w:firstLine="640" w:firstLineChars="200"/>
        <w:rPr>
          <w:rFonts w:ascii="仿宋" w:hAnsi="仿宋" w:eastAsia="仿宋"/>
          <w:sz w:val="32"/>
          <w:szCs w:val="32"/>
        </w:rPr>
      </w:pPr>
      <w:r>
        <w:rPr>
          <w:rFonts w:hint="eastAsia" w:ascii="仿宋" w:hAnsi="仿宋" w:eastAsia="仿宋"/>
          <w:sz w:val="32"/>
          <w:szCs w:val="32"/>
        </w:rPr>
        <w:t>指除“财政拨款”、“事业收入”、“事业单位经营收入”、“附属单位上缴收入”等以外的收入。</w:t>
      </w:r>
    </w:p>
    <w:p>
      <w:pPr>
        <w:ind w:firstLine="640"/>
        <w:rPr>
          <w:rFonts w:ascii="黑体" w:hAnsi="黑体" w:eastAsia="黑体"/>
          <w:sz w:val="32"/>
          <w:szCs w:val="32"/>
        </w:rPr>
      </w:pPr>
      <w:r>
        <w:rPr>
          <w:rFonts w:hint="eastAsia" w:ascii="黑体" w:hAnsi="黑体" w:eastAsia="黑体"/>
          <w:sz w:val="32"/>
          <w:szCs w:val="32"/>
        </w:rPr>
        <w:t>四、基本支出</w:t>
      </w:r>
    </w:p>
    <w:p>
      <w:pPr>
        <w:ind w:firstLine="640" w:firstLineChars="200"/>
        <w:rPr>
          <w:rFonts w:ascii="仿宋" w:hAnsi="仿宋" w:eastAsia="仿宋"/>
          <w:sz w:val="32"/>
          <w:szCs w:val="32"/>
        </w:rPr>
      </w:pPr>
      <w:r>
        <w:rPr>
          <w:rFonts w:hint="eastAsia" w:ascii="仿宋" w:hAnsi="仿宋" w:eastAsia="仿宋"/>
          <w:sz w:val="32"/>
          <w:szCs w:val="32"/>
        </w:rPr>
        <w:t>指为保障机构正常运转、完成日常工作任务所必需的开支，其内容包括人员经费和日常公用经费两部分。</w:t>
      </w:r>
    </w:p>
    <w:p>
      <w:pPr>
        <w:ind w:firstLine="640"/>
        <w:rPr>
          <w:rFonts w:ascii="黑体" w:hAnsi="黑体" w:eastAsia="黑体"/>
          <w:sz w:val="32"/>
          <w:szCs w:val="32"/>
        </w:rPr>
      </w:pPr>
      <w:r>
        <w:rPr>
          <w:rFonts w:hint="eastAsia" w:ascii="黑体" w:hAnsi="黑体" w:eastAsia="黑体"/>
          <w:sz w:val="32"/>
          <w:szCs w:val="32"/>
        </w:rPr>
        <w:t>五、项目支出</w:t>
      </w:r>
    </w:p>
    <w:p>
      <w:pPr>
        <w:ind w:firstLine="640" w:firstLineChars="200"/>
        <w:rPr>
          <w:rFonts w:ascii="仿宋" w:hAnsi="仿宋" w:eastAsia="仿宋"/>
          <w:sz w:val="32"/>
          <w:szCs w:val="32"/>
        </w:rPr>
      </w:pPr>
      <w:r>
        <w:rPr>
          <w:rFonts w:hint="eastAsia" w:ascii="仿宋" w:hAnsi="仿宋" w:eastAsia="仿宋"/>
          <w:sz w:val="32"/>
          <w:szCs w:val="32"/>
        </w:rPr>
        <w:t>指在基本支出之外，为完成特定的行政工作任务或事业发展目标所发生的支出。</w:t>
      </w:r>
    </w:p>
    <w:p>
      <w:pPr>
        <w:ind w:firstLine="640"/>
        <w:rPr>
          <w:rFonts w:ascii="黑体" w:hAnsi="黑体" w:eastAsia="黑体"/>
          <w:sz w:val="32"/>
          <w:szCs w:val="32"/>
        </w:rPr>
      </w:pPr>
      <w:r>
        <w:rPr>
          <w:rFonts w:hint="eastAsia" w:ascii="黑体" w:hAnsi="黑体" w:eastAsia="黑体"/>
          <w:sz w:val="32"/>
          <w:szCs w:val="32"/>
        </w:rPr>
        <w:t>六、机关运行经费</w:t>
      </w:r>
    </w:p>
    <w:p>
      <w:pPr>
        <w:ind w:firstLine="640" w:firstLineChars="200"/>
        <w:rPr>
          <w:rFonts w:ascii="仿宋" w:hAnsi="仿宋" w:eastAsia="仿宋"/>
          <w:sz w:val="32"/>
          <w:szCs w:val="32"/>
        </w:rPr>
      </w:pPr>
      <w:r>
        <w:rPr>
          <w:rFonts w:hint="eastAsia" w:ascii="仿宋" w:hAnsi="仿宋" w:eastAsia="仿宋"/>
          <w:sz w:val="32"/>
          <w:szCs w:val="32"/>
        </w:rPr>
        <w:t>指为保障行政单位（含参照公务员法管理的事业单位）运行用于购买货物和服务的各项资金，包括办公及印刷费、邮电费、差旅费、会议费、福利费、日常维修费及一般设备购置费、办公用房水电费、办公用房取暖费、办公用房物业管理费、公务用车运行维护费以及其他费用。</w:t>
      </w:r>
    </w:p>
    <w:p>
      <w:pPr>
        <w:ind w:firstLine="640"/>
        <w:rPr>
          <w:rFonts w:ascii="黑体" w:hAnsi="黑体" w:eastAsia="黑体"/>
          <w:sz w:val="32"/>
          <w:szCs w:val="32"/>
        </w:rPr>
      </w:pPr>
      <w:r>
        <w:rPr>
          <w:rFonts w:hint="eastAsia" w:ascii="黑体" w:hAnsi="黑体" w:eastAsia="黑体"/>
          <w:sz w:val="32"/>
          <w:szCs w:val="32"/>
        </w:rPr>
        <w:t>七、“三公”经费</w:t>
      </w:r>
    </w:p>
    <w:p>
      <w:pPr>
        <w:ind w:firstLine="640" w:firstLineChars="200"/>
        <w:rPr>
          <w:rFonts w:ascii="仿宋" w:hAnsi="仿宋" w:eastAsia="仿宋"/>
          <w:sz w:val="32"/>
          <w:szCs w:val="32"/>
        </w:rPr>
      </w:pPr>
      <w:r>
        <w:rPr>
          <w:rFonts w:hint="eastAsia" w:ascii="仿宋" w:hAnsi="仿宋" w:eastAsia="仿宋"/>
          <w:sz w:val="32"/>
          <w:szCs w:val="32"/>
        </w:rPr>
        <w:t>指纳入本级财政预决算管理，本级部门使用财政拨款安排的因公出国（境）费、公务用车购置运行费和公务接待费。其中，因公出国（境）费指单位公务出国（境）的住宿费、旅费、伙食补助费、杂费、培训费等支出；公务用车购置运行费指单位公务用车购置费及租用费、燃料费、维修费、过路过桥费、保险费、安全奖励费用等支出；公务接待费指单位按规定开支的各类接待支出。</w:t>
      </w:r>
    </w:p>
    <w:p>
      <w:pPr>
        <w:ind w:firstLine="640" w:firstLineChars="200"/>
        <w:rPr>
          <w:rFonts w:ascii="仿宋" w:hAnsi="仿宋" w:eastAsia="仿宋"/>
          <w:sz w:val="32"/>
          <w:szCs w:val="32"/>
        </w:rPr>
      </w:pPr>
    </w:p>
    <w:p>
      <w:pPr>
        <w:pStyle w:val="4"/>
        <w:overflowPunct w:val="0"/>
        <w:topLinePunct/>
        <w:spacing w:before="0" w:beforeAutospacing="0" w:after="0" w:afterAutospacing="0" w:line="360" w:lineRule="auto"/>
        <w:jc w:val="both"/>
      </w:pPr>
      <w:r>
        <w:rPr>
          <w:rFonts w:hint="eastAsia" w:ascii="黑体" w:hAnsi="黑体" w:eastAsia="黑体"/>
          <w:sz w:val="32"/>
          <w:szCs w:val="32"/>
        </w:rPr>
        <w:t>附件：中共濮阳市华龙区纪律检查委员会2019年部门预算表（详见附表）</w:t>
      </w:r>
    </w:p>
    <w:p>
      <w:pPr>
        <w:pStyle w:val="4"/>
        <w:overflowPunct w:val="0"/>
        <w:topLinePunct/>
        <w:spacing w:before="0" w:beforeAutospacing="0" w:after="0" w:afterAutospacing="0" w:line="360" w:lineRule="auto"/>
        <w:ind w:firstLine="640" w:firstLineChars="200"/>
      </w:pPr>
      <w:r>
        <w:rPr>
          <w:rFonts w:hint="eastAsia" w:ascii="仿宋_GB2312" w:eastAsia="仿宋_GB2312"/>
          <w:sz w:val="32"/>
          <w:szCs w:val="32"/>
        </w:rPr>
        <w:t>一、部门收支总表</w:t>
      </w:r>
    </w:p>
    <w:p>
      <w:pPr>
        <w:pStyle w:val="4"/>
        <w:overflowPunct w:val="0"/>
        <w:topLinePunct/>
        <w:spacing w:before="0" w:beforeAutospacing="0" w:after="0" w:afterAutospacing="0" w:line="360" w:lineRule="auto"/>
        <w:ind w:firstLine="640" w:firstLineChars="200"/>
      </w:pPr>
      <w:r>
        <w:rPr>
          <w:rFonts w:hint="eastAsia" w:ascii="仿宋_GB2312" w:eastAsia="仿宋_GB2312"/>
          <w:sz w:val="32"/>
          <w:szCs w:val="32"/>
        </w:rPr>
        <w:t>二、部门收入总表</w:t>
      </w:r>
    </w:p>
    <w:p>
      <w:pPr>
        <w:pStyle w:val="4"/>
        <w:overflowPunct w:val="0"/>
        <w:topLinePunct/>
        <w:spacing w:before="0" w:beforeAutospacing="0" w:after="0" w:afterAutospacing="0" w:line="360" w:lineRule="auto"/>
        <w:ind w:firstLine="640" w:firstLineChars="200"/>
      </w:pPr>
      <w:r>
        <w:rPr>
          <w:rFonts w:hint="eastAsia" w:ascii="仿宋_GB2312" w:eastAsia="仿宋_GB2312"/>
          <w:sz w:val="32"/>
          <w:szCs w:val="32"/>
        </w:rPr>
        <w:t>三、部门支出总表</w:t>
      </w:r>
    </w:p>
    <w:p>
      <w:pPr>
        <w:pStyle w:val="4"/>
        <w:overflowPunct w:val="0"/>
        <w:topLinePunct/>
        <w:spacing w:before="0" w:beforeAutospacing="0" w:after="0" w:afterAutospacing="0" w:line="360" w:lineRule="auto"/>
        <w:ind w:firstLine="640" w:firstLineChars="200"/>
      </w:pPr>
      <w:r>
        <w:rPr>
          <w:rFonts w:hint="eastAsia" w:ascii="仿宋_GB2312" w:eastAsia="仿宋_GB2312"/>
          <w:sz w:val="32"/>
          <w:szCs w:val="32"/>
        </w:rPr>
        <w:t>四、财政拨款收支总表</w:t>
      </w:r>
    </w:p>
    <w:p>
      <w:pPr>
        <w:pStyle w:val="4"/>
        <w:overflowPunct w:val="0"/>
        <w:topLinePunct/>
        <w:spacing w:before="0" w:beforeAutospacing="0" w:after="0" w:afterAutospacing="0" w:line="360" w:lineRule="auto"/>
        <w:ind w:firstLine="640" w:firstLineChars="200"/>
      </w:pPr>
      <w:r>
        <w:rPr>
          <w:rFonts w:hint="eastAsia" w:ascii="仿宋_GB2312" w:eastAsia="仿宋_GB2312"/>
          <w:sz w:val="32"/>
          <w:szCs w:val="32"/>
        </w:rPr>
        <w:t>五、一般公共预算支出表</w:t>
      </w:r>
    </w:p>
    <w:p>
      <w:pPr>
        <w:pStyle w:val="4"/>
        <w:overflowPunct w:val="0"/>
        <w:topLinePunct/>
        <w:spacing w:before="0" w:beforeAutospacing="0" w:after="0" w:afterAutospacing="0" w:line="360" w:lineRule="auto"/>
        <w:ind w:firstLine="640" w:firstLineChars="200"/>
      </w:pPr>
      <w:r>
        <w:rPr>
          <w:rFonts w:hint="eastAsia" w:ascii="仿宋_GB2312" w:eastAsia="仿宋_GB2312"/>
          <w:sz w:val="32"/>
          <w:szCs w:val="32"/>
        </w:rPr>
        <w:t>六、一般公共预算基本支出表</w:t>
      </w:r>
    </w:p>
    <w:p>
      <w:pPr>
        <w:pStyle w:val="4"/>
        <w:overflowPunct w:val="0"/>
        <w:topLinePunct/>
        <w:spacing w:before="0" w:beforeAutospacing="0" w:after="0" w:afterAutospacing="0" w:line="360" w:lineRule="auto"/>
        <w:ind w:firstLine="640" w:firstLineChars="200"/>
      </w:pPr>
      <w:r>
        <w:rPr>
          <w:rFonts w:hint="eastAsia" w:ascii="仿宋_GB2312" w:eastAsia="仿宋_GB2312"/>
          <w:sz w:val="32"/>
          <w:szCs w:val="32"/>
        </w:rPr>
        <w:t>七、一般公共预算“三公”经费支出表</w:t>
      </w:r>
    </w:p>
    <w:p>
      <w:pPr>
        <w:ind w:firstLine="640" w:firstLineChars="200"/>
        <w:rPr>
          <w:rFonts w:ascii="仿宋" w:hAnsi="仿宋" w:eastAsia="仿宋"/>
          <w:sz w:val="32"/>
          <w:szCs w:val="32"/>
        </w:rPr>
      </w:pPr>
      <w:r>
        <w:rPr>
          <w:rFonts w:hint="eastAsia" w:ascii="仿宋_GB2312" w:eastAsia="仿宋_GB2312"/>
          <w:sz w:val="32"/>
          <w:szCs w:val="32"/>
        </w:rPr>
        <w:t>八、政府性基</w:t>
      </w:r>
      <w:r>
        <w:rPr>
          <w:rFonts w:hint="eastAsia" w:ascii="仿宋_GB2312" w:eastAsia="仿宋_GB2312"/>
          <w:color w:val="000000"/>
          <w:sz w:val="32"/>
          <w:szCs w:val="32"/>
        </w:rPr>
        <w:t>金预算支出表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Arial Unicode MS"/>
    <w:panose1 w:val="03000509000000000000"/>
    <w:charset w:val="86"/>
    <w:family w:val="script"/>
    <w:pitch w:val="default"/>
    <w:sig w:usb0="00000000" w:usb1="00000000" w:usb2="00000010" w:usb3="00000000" w:csb0="00040000" w:csb1="00000000"/>
  </w:font>
  <w:font w:name="方正小标宋简体">
    <w:altName w:val="Arial Unicode MS"/>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521D"/>
    <w:rsid w:val="0000046A"/>
    <w:rsid w:val="00002196"/>
    <w:rsid w:val="00004A5A"/>
    <w:rsid w:val="000132E8"/>
    <w:rsid w:val="00016BED"/>
    <w:rsid w:val="0002164D"/>
    <w:rsid w:val="00027F80"/>
    <w:rsid w:val="000430FF"/>
    <w:rsid w:val="00061554"/>
    <w:rsid w:val="00072768"/>
    <w:rsid w:val="00073460"/>
    <w:rsid w:val="00073A1C"/>
    <w:rsid w:val="00083F78"/>
    <w:rsid w:val="00084BC7"/>
    <w:rsid w:val="000A120E"/>
    <w:rsid w:val="000A2622"/>
    <w:rsid w:val="000A61C6"/>
    <w:rsid w:val="000B0330"/>
    <w:rsid w:val="000D10F2"/>
    <w:rsid w:val="000E11AD"/>
    <w:rsid w:val="000E2600"/>
    <w:rsid w:val="000F620F"/>
    <w:rsid w:val="0011394B"/>
    <w:rsid w:val="00116512"/>
    <w:rsid w:val="00117E91"/>
    <w:rsid w:val="0012037F"/>
    <w:rsid w:val="00126578"/>
    <w:rsid w:val="00133B0C"/>
    <w:rsid w:val="00160364"/>
    <w:rsid w:val="00172BEB"/>
    <w:rsid w:val="0017321F"/>
    <w:rsid w:val="0017490C"/>
    <w:rsid w:val="00177B2F"/>
    <w:rsid w:val="00196D1B"/>
    <w:rsid w:val="001A363D"/>
    <w:rsid w:val="001A450C"/>
    <w:rsid w:val="001B0630"/>
    <w:rsid w:val="001B43C4"/>
    <w:rsid w:val="001D3173"/>
    <w:rsid w:val="001D7B94"/>
    <w:rsid w:val="001E082A"/>
    <w:rsid w:val="001E2002"/>
    <w:rsid w:val="001E5848"/>
    <w:rsid w:val="001F5C3A"/>
    <w:rsid w:val="001F69E6"/>
    <w:rsid w:val="001F6EA6"/>
    <w:rsid w:val="00204798"/>
    <w:rsid w:val="00213FB6"/>
    <w:rsid w:val="00214722"/>
    <w:rsid w:val="002209A7"/>
    <w:rsid w:val="00220CDC"/>
    <w:rsid w:val="00224A75"/>
    <w:rsid w:val="002310DD"/>
    <w:rsid w:val="0024686B"/>
    <w:rsid w:val="00253EBE"/>
    <w:rsid w:val="00266CFB"/>
    <w:rsid w:val="00272F81"/>
    <w:rsid w:val="00280017"/>
    <w:rsid w:val="00290690"/>
    <w:rsid w:val="0029175A"/>
    <w:rsid w:val="0029197A"/>
    <w:rsid w:val="002B0CFE"/>
    <w:rsid w:val="002B1D96"/>
    <w:rsid w:val="002B3532"/>
    <w:rsid w:val="002C32C8"/>
    <w:rsid w:val="002D0E65"/>
    <w:rsid w:val="00300F5D"/>
    <w:rsid w:val="0031611D"/>
    <w:rsid w:val="00325FBD"/>
    <w:rsid w:val="00326DBC"/>
    <w:rsid w:val="003318E0"/>
    <w:rsid w:val="00334AC8"/>
    <w:rsid w:val="00340E1E"/>
    <w:rsid w:val="00343002"/>
    <w:rsid w:val="003452C1"/>
    <w:rsid w:val="00347A9C"/>
    <w:rsid w:val="00347F00"/>
    <w:rsid w:val="003527CA"/>
    <w:rsid w:val="00366ABD"/>
    <w:rsid w:val="00367B86"/>
    <w:rsid w:val="00376143"/>
    <w:rsid w:val="00377591"/>
    <w:rsid w:val="00384FE9"/>
    <w:rsid w:val="00391DCA"/>
    <w:rsid w:val="00395FCD"/>
    <w:rsid w:val="003A1AD8"/>
    <w:rsid w:val="003A4D1C"/>
    <w:rsid w:val="003B03D3"/>
    <w:rsid w:val="003B1B6D"/>
    <w:rsid w:val="003D32F0"/>
    <w:rsid w:val="003D3A49"/>
    <w:rsid w:val="003E34C3"/>
    <w:rsid w:val="003E6713"/>
    <w:rsid w:val="003F0725"/>
    <w:rsid w:val="003F4660"/>
    <w:rsid w:val="00402E18"/>
    <w:rsid w:val="004114C1"/>
    <w:rsid w:val="00412DD4"/>
    <w:rsid w:val="00416C13"/>
    <w:rsid w:val="0042448C"/>
    <w:rsid w:val="00424BFE"/>
    <w:rsid w:val="00433C48"/>
    <w:rsid w:val="00435B90"/>
    <w:rsid w:val="00440925"/>
    <w:rsid w:val="004444A9"/>
    <w:rsid w:val="00456A2A"/>
    <w:rsid w:val="004649B6"/>
    <w:rsid w:val="0047221A"/>
    <w:rsid w:val="00475C58"/>
    <w:rsid w:val="00476651"/>
    <w:rsid w:val="00480E6B"/>
    <w:rsid w:val="00481880"/>
    <w:rsid w:val="00481BF7"/>
    <w:rsid w:val="00484FF3"/>
    <w:rsid w:val="004917F6"/>
    <w:rsid w:val="00497FA5"/>
    <w:rsid w:val="004A5FC7"/>
    <w:rsid w:val="004B62CD"/>
    <w:rsid w:val="004C1C23"/>
    <w:rsid w:val="004D11E2"/>
    <w:rsid w:val="004D20D7"/>
    <w:rsid w:val="004D73C3"/>
    <w:rsid w:val="004E2EF8"/>
    <w:rsid w:val="004F3F49"/>
    <w:rsid w:val="0051575E"/>
    <w:rsid w:val="0052101E"/>
    <w:rsid w:val="005223E8"/>
    <w:rsid w:val="0052707F"/>
    <w:rsid w:val="00551DD9"/>
    <w:rsid w:val="00553A23"/>
    <w:rsid w:val="005615F1"/>
    <w:rsid w:val="00562A65"/>
    <w:rsid w:val="0056720C"/>
    <w:rsid w:val="00571FE5"/>
    <w:rsid w:val="0059024A"/>
    <w:rsid w:val="00591085"/>
    <w:rsid w:val="005938E5"/>
    <w:rsid w:val="00597C5D"/>
    <w:rsid w:val="005A4BCA"/>
    <w:rsid w:val="005B24C5"/>
    <w:rsid w:val="005B3B9A"/>
    <w:rsid w:val="005C1BA0"/>
    <w:rsid w:val="005D10EC"/>
    <w:rsid w:val="005D623D"/>
    <w:rsid w:val="005E0440"/>
    <w:rsid w:val="005E1A4B"/>
    <w:rsid w:val="005E1ABC"/>
    <w:rsid w:val="005E5AAE"/>
    <w:rsid w:val="005E6EC2"/>
    <w:rsid w:val="005F0D3B"/>
    <w:rsid w:val="005F0D68"/>
    <w:rsid w:val="005F5D72"/>
    <w:rsid w:val="006147C0"/>
    <w:rsid w:val="00617AE7"/>
    <w:rsid w:val="006204DF"/>
    <w:rsid w:val="0062514A"/>
    <w:rsid w:val="00635649"/>
    <w:rsid w:val="006421B2"/>
    <w:rsid w:val="00642F39"/>
    <w:rsid w:val="00644DCC"/>
    <w:rsid w:val="0066430F"/>
    <w:rsid w:val="0066771A"/>
    <w:rsid w:val="00684EBF"/>
    <w:rsid w:val="00697DBA"/>
    <w:rsid w:val="006B459A"/>
    <w:rsid w:val="006B473E"/>
    <w:rsid w:val="006B4837"/>
    <w:rsid w:val="006C00B0"/>
    <w:rsid w:val="006C452E"/>
    <w:rsid w:val="006C72AC"/>
    <w:rsid w:val="006D2CC2"/>
    <w:rsid w:val="006D3C5C"/>
    <w:rsid w:val="006E6294"/>
    <w:rsid w:val="006E72AD"/>
    <w:rsid w:val="006F5083"/>
    <w:rsid w:val="00702196"/>
    <w:rsid w:val="007027B6"/>
    <w:rsid w:val="00707582"/>
    <w:rsid w:val="00710DE8"/>
    <w:rsid w:val="0071465B"/>
    <w:rsid w:val="007257DD"/>
    <w:rsid w:val="00732161"/>
    <w:rsid w:val="0073403E"/>
    <w:rsid w:val="00734E78"/>
    <w:rsid w:val="00747E1F"/>
    <w:rsid w:val="00765E2A"/>
    <w:rsid w:val="00782BE8"/>
    <w:rsid w:val="00782CE4"/>
    <w:rsid w:val="007A1AC1"/>
    <w:rsid w:val="007A2989"/>
    <w:rsid w:val="007A5110"/>
    <w:rsid w:val="007A7440"/>
    <w:rsid w:val="007C199D"/>
    <w:rsid w:val="007C2779"/>
    <w:rsid w:val="007D24C5"/>
    <w:rsid w:val="007D3D59"/>
    <w:rsid w:val="007D4319"/>
    <w:rsid w:val="007D611A"/>
    <w:rsid w:val="007E0112"/>
    <w:rsid w:val="007E704C"/>
    <w:rsid w:val="007E7C54"/>
    <w:rsid w:val="007F3130"/>
    <w:rsid w:val="0080427E"/>
    <w:rsid w:val="00804F1B"/>
    <w:rsid w:val="00812D56"/>
    <w:rsid w:val="0081363F"/>
    <w:rsid w:val="008219F5"/>
    <w:rsid w:val="00824FDA"/>
    <w:rsid w:val="00832D8F"/>
    <w:rsid w:val="0083533D"/>
    <w:rsid w:val="00843134"/>
    <w:rsid w:val="008431DE"/>
    <w:rsid w:val="00845FFF"/>
    <w:rsid w:val="00851C33"/>
    <w:rsid w:val="00852187"/>
    <w:rsid w:val="00852DF5"/>
    <w:rsid w:val="0085559B"/>
    <w:rsid w:val="008616AC"/>
    <w:rsid w:val="00862471"/>
    <w:rsid w:val="0086512B"/>
    <w:rsid w:val="00873DD2"/>
    <w:rsid w:val="00874090"/>
    <w:rsid w:val="00875A77"/>
    <w:rsid w:val="00885752"/>
    <w:rsid w:val="00894B44"/>
    <w:rsid w:val="008A4B90"/>
    <w:rsid w:val="008B0963"/>
    <w:rsid w:val="008C6505"/>
    <w:rsid w:val="008C7E32"/>
    <w:rsid w:val="008D7A88"/>
    <w:rsid w:val="008F55A5"/>
    <w:rsid w:val="00904B1B"/>
    <w:rsid w:val="00906866"/>
    <w:rsid w:val="00914F43"/>
    <w:rsid w:val="009222A2"/>
    <w:rsid w:val="0092547C"/>
    <w:rsid w:val="0093502A"/>
    <w:rsid w:val="009426BE"/>
    <w:rsid w:val="00944D35"/>
    <w:rsid w:val="00950804"/>
    <w:rsid w:val="00954459"/>
    <w:rsid w:val="00960055"/>
    <w:rsid w:val="00971B68"/>
    <w:rsid w:val="00972F44"/>
    <w:rsid w:val="009731A3"/>
    <w:rsid w:val="009814D8"/>
    <w:rsid w:val="009830CB"/>
    <w:rsid w:val="00983C15"/>
    <w:rsid w:val="00984AAA"/>
    <w:rsid w:val="00994FAB"/>
    <w:rsid w:val="00996862"/>
    <w:rsid w:val="009A2613"/>
    <w:rsid w:val="009D0889"/>
    <w:rsid w:val="009E5D9B"/>
    <w:rsid w:val="00A01F6A"/>
    <w:rsid w:val="00A221C0"/>
    <w:rsid w:val="00A35377"/>
    <w:rsid w:val="00A37678"/>
    <w:rsid w:val="00A40FF9"/>
    <w:rsid w:val="00A425F2"/>
    <w:rsid w:val="00A51978"/>
    <w:rsid w:val="00A53246"/>
    <w:rsid w:val="00A718EC"/>
    <w:rsid w:val="00A71EFF"/>
    <w:rsid w:val="00A73C86"/>
    <w:rsid w:val="00A76FD9"/>
    <w:rsid w:val="00A910BD"/>
    <w:rsid w:val="00AA5FE0"/>
    <w:rsid w:val="00AB0E48"/>
    <w:rsid w:val="00AB37CE"/>
    <w:rsid w:val="00AB6E5A"/>
    <w:rsid w:val="00AC27D5"/>
    <w:rsid w:val="00AF0FB9"/>
    <w:rsid w:val="00B022C0"/>
    <w:rsid w:val="00B05446"/>
    <w:rsid w:val="00B25A37"/>
    <w:rsid w:val="00B26A43"/>
    <w:rsid w:val="00B34B10"/>
    <w:rsid w:val="00B35225"/>
    <w:rsid w:val="00B3716C"/>
    <w:rsid w:val="00B46A15"/>
    <w:rsid w:val="00B46F19"/>
    <w:rsid w:val="00B60A81"/>
    <w:rsid w:val="00B672B5"/>
    <w:rsid w:val="00B70367"/>
    <w:rsid w:val="00B705C6"/>
    <w:rsid w:val="00B71CE3"/>
    <w:rsid w:val="00B863DA"/>
    <w:rsid w:val="00B90E5B"/>
    <w:rsid w:val="00B927E7"/>
    <w:rsid w:val="00BA1B1A"/>
    <w:rsid w:val="00BA36C6"/>
    <w:rsid w:val="00BA5198"/>
    <w:rsid w:val="00BC207F"/>
    <w:rsid w:val="00BD3139"/>
    <w:rsid w:val="00BE1219"/>
    <w:rsid w:val="00BE5DE9"/>
    <w:rsid w:val="00BF5C9F"/>
    <w:rsid w:val="00BF6EBD"/>
    <w:rsid w:val="00C029AF"/>
    <w:rsid w:val="00C0463F"/>
    <w:rsid w:val="00C051A2"/>
    <w:rsid w:val="00C163B1"/>
    <w:rsid w:val="00C22F11"/>
    <w:rsid w:val="00C27784"/>
    <w:rsid w:val="00C36572"/>
    <w:rsid w:val="00C36BDB"/>
    <w:rsid w:val="00C406BC"/>
    <w:rsid w:val="00C416BE"/>
    <w:rsid w:val="00C43369"/>
    <w:rsid w:val="00C562B8"/>
    <w:rsid w:val="00C60328"/>
    <w:rsid w:val="00C76695"/>
    <w:rsid w:val="00C81C8A"/>
    <w:rsid w:val="00C82D88"/>
    <w:rsid w:val="00C929BF"/>
    <w:rsid w:val="00C95075"/>
    <w:rsid w:val="00CA5A8E"/>
    <w:rsid w:val="00CA790B"/>
    <w:rsid w:val="00CB3F5A"/>
    <w:rsid w:val="00CB522C"/>
    <w:rsid w:val="00CC26EC"/>
    <w:rsid w:val="00CD1BAC"/>
    <w:rsid w:val="00CF3A78"/>
    <w:rsid w:val="00CF56A3"/>
    <w:rsid w:val="00D027AD"/>
    <w:rsid w:val="00D10BAC"/>
    <w:rsid w:val="00D1654C"/>
    <w:rsid w:val="00D212CC"/>
    <w:rsid w:val="00D31C86"/>
    <w:rsid w:val="00D31E35"/>
    <w:rsid w:val="00D33090"/>
    <w:rsid w:val="00D3663D"/>
    <w:rsid w:val="00D42712"/>
    <w:rsid w:val="00D4620C"/>
    <w:rsid w:val="00D526B5"/>
    <w:rsid w:val="00D627E3"/>
    <w:rsid w:val="00D63C17"/>
    <w:rsid w:val="00D64296"/>
    <w:rsid w:val="00D75376"/>
    <w:rsid w:val="00D76A95"/>
    <w:rsid w:val="00D92232"/>
    <w:rsid w:val="00DA34FD"/>
    <w:rsid w:val="00DC17BB"/>
    <w:rsid w:val="00DC5066"/>
    <w:rsid w:val="00DE0A3A"/>
    <w:rsid w:val="00DF1D80"/>
    <w:rsid w:val="00DF6259"/>
    <w:rsid w:val="00DF656C"/>
    <w:rsid w:val="00DF7A40"/>
    <w:rsid w:val="00E07DF5"/>
    <w:rsid w:val="00E13F56"/>
    <w:rsid w:val="00E25D79"/>
    <w:rsid w:val="00E26C3C"/>
    <w:rsid w:val="00E34EC7"/>
    <w:rsid w:val="00E40BD7"/>
    <w:rsid w:val="00E41829"/>
    <w:rsid w:val="00E54A09"/>
    <w:rsid w:val="00E6201E"/>
    <w:rsid w:val="00E628C1"/>
    <w:rsid w:val="00E67BBB"/>
    <w:rsid w:val="00E772E4"/>
    <w:rsid w:val="00E8327B"/>
    <w:rsid w:val="00E83F8F"/>
    <w:rsid w:val="00E9136C"/>
    <w:rsid w:val="00E92BEC"/>
    <w:rsid w:val="00E933D0"/>
    <w:rsid w:val="00E93DA8"/>
    <w:rsid w:val="00E94315"/>
    <w:rsid w:val="00E96C0E"/>
    <w:rsid w:val="00EB2414"/>
    <w:rsid w:val="00EB4212"/>
    <w:rsid w:val="00EC11F0"/>
    <w:rsid w:val="00EC3452"/>
    <w:rsid w:val="00ED6165"/>
    <w:rsid w:val="00ED7573"/>
    <w:rsid w:val="00EE2DC1"/>
    <w:rsid w:val="00EE41CF"/>
    <w:rsid w:val="00EE4D4B"/>
    <w:rsid w:val="00F027A0"/>
    <w:rsid w:val="00F11492"/>
    <w:rsid w:val="00F17169"/>
    <w:rsid w:val="00F204DA"/>
    <w:rsid w:val="00F206CC"/>
    <w:rsid w:val="00F233A7"/>
    <w:rsid w:val="00F24FA1"/>
    <w:rsid w:val="00F33195"/>
    <w:rsid w:val="00F4521D"/>
    <w:rsid w:val="00F87E41"/>
    <w:rsid w:val="00F93ACE"/>
    <w:rsid w:val="00F9584D"/>
    <w:rsid w:val="00F97FD4"/>
    <w:rsid w:val="00FB448A"/>
    <w:rsid w:val="00FB6183"/>
    <w:rsid w:val="00FC6401"/>
    <w:rsid w:val="00FD7E30"/>
    <w:rsid w:val="00FE715C"/>
    <w:rsid w:val="00FF2323"/>
    <w:rsid w:val="00FF3854"/>
    <w:rsid w:val="091120EB"/>
    <w:rsid w:val="0E823CB0"/>
    <w:rsid w:val="225A79D7"/>
    <w:rsid w:val="291D75E1"/>
    <w:rsid w:val="5A2F19BB"/>
    <w:rsid w:val="7727315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eastAsia="宋体" w:cs="Times New Roman"/>
      <w:kern w:val="2"/>
      <w:sz w:val="21"/>
      <w:szCs w:val="22"/>
    </w:rPr>
    <w:tblPr>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kern w:val="0"/>
      <w:sz w:val="18"/>
      <w:szCs w:val="20"/>
    </w:rPr>
  </w:style>
  <w:style w:type="paragraph" w:styleId="3">
    <w:name w:val="header"/>
    <w:basedOn w:val="1"/>
    <w:link w:val="7"/>
    <w:qFormat/>
    <w:uiPriority w:val="99"/>
    <w:pPr>
      <w:pBdr>
        <w:bottom w:val="single" w:color="auto" w:sz="6" w:space="1"/>
      </w:pBdr>
      <w:tabs>
        <w:tab w:val="center" w:pos="4153"/>
        <w:tab w:val="right" w:pos="8306"/>
      </w:tabs>
      <w:snapToGrid w:val="0"/>
      <w:jc w:val="center"/>
    </w:pPr>
    <w:rPr>
      <w:kern w:val="0"/>
      <w:sz w:val="18"/>
      <w:szCs w:val="20"/>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character" w:customStyle="1" w:styleId="7">
    <w:name w:val="页眉 字符"/>
    <w:link w:val="3"/>
    <w:qFormat/>
    <w:locked/>
    <w:uiPriority w:val="99"/>
    <w:rPr>
      <w:rFonts w:cs="Times New Roman"/>
      <w:sz w:val="18"/>
    </w:rPr>
  </w:style>
  <w:style w:type="character" w:customStyle="1" w:styleId="8">
    <w:name w:val="页脚 字符"/>
    <w:link w:val="2"/>
    <w:qFormat/>
    <w:locked/>
    <w:uiPriority w:val="99"/>
    <w:rPr>
      <w:rFonts w:cs="Times New Roman"/>
      <w:sz w:val="18"/>
    </w:rPr>
  </w:style>
  <w:style w:type="paragraph" w:customStyle="1" w:styleId="9">
    <w:name w:val="Default"/>
    <w:qFormat/>
    <w:uiPriority w:val="99"/>
    <w:pPr>
      <w:widowControl w:val="0"/>
      <w:autoSpaceDE w:val="0"/>
      <w:autoSpaceDN w:val="0"/>
      <w:adjustRightInd w:val="0"/>
    </w:pPr>
    <w:rPr>
      <w:rFonts w:ascii="黑体" w:hAnsi="黑体" w:eastAsia="宋体" w:cs="黑体"/>
      <w:color w:val="00000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A187E9-A2F9-4F65-86FD-2E04B81E8809}">
  <ds:schemaRefs/>
</ds:datastoreItem>
</file>

<file path=docProps/app.xml><?xml version="1.0" encoding="utf-8"?>
<Properties xmlns="http://schemas.openxmlformats.org/officeDocument/2006/extended-properties" xmlns:vt="http://schemas.openxmlformats.org/officeDocument/2006/docPropsVTypes">
  <Template>Normal</Template>
  <Pages>8</Pages>
  <Words>377</Words>
  <Characters>2150</Characters>
  <Lines>17</Lines>
  <Paragraphs>5</Paragraphs>
  <TotalTime>18</TotalTime>
  <ScaleCrop>false</ScaleCrop>
  <LinksUpToDate>false</LinksUpToDate>
  <CharactersWithSpaces>2522</CharactersWithSpaces>
  <Application>WPS Office_11.1.0.10072_F1E327BC-269C-435d-A152-05C5408002CA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2017-10-31T03:18:00Z</dcterms:created>
  <dc:creator>lenovo</dc:creator>
  <cp:lastModifiedBy>XZZF</cp:lastModifiedBy>
  <dcterms:modified xsi:type="dcterms:W3CDTF">2020-12-16T09:13:57Z</dcterms:modified>
  <dc:title>濮阳市华龙区XXX局</dc:title>
  <cp:revision>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