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B29" w:rsidRDefault="00574B29">
      <w:pPr>
        <w:rPr>
          <w:rFonts w:ascii="方正小标宋_GBK" w:eastAsia="方正小标宋_GBK"/>
          <w:sz w:val="40"/>
        </w:rPr>
      </w:pPr>
    </w:p>
    <w:p w:rsidR="00574B29" w:rsidRDefault="00574B29">
      <w:pPr>
        <w:rPr>
          <w:rFonts w:ascii="方正小标宋_GBK" w:eastAsia="方正小标宋_GBK"/>
          <w:sz w:val="40"/>
        </w:rPr>
      </w:pPr>
    </w:p>
    <w:p w:rsidR="00574B29" w:rsidRDefault="00454C62">
      <w:pPr>
        <w:jc w:val="center"/>
        <w:rPr>
          <w:rFonts w:ascii="方正小标宋简体" w:eastAsia="方正小标宋简体" w:hAnsi="方正小标宋简体" w:cs="方正小标宋简体"/>
          <w:w w:val="85"/>
          <w:sz w:val="56"/>
        </w:rPr>
      </w:pPr>
      <w:r>
        <w:rPr>
          <w:rFonts w:ascii="方正小标宋简体" w:eastAsia="方正小标宋简体" w:hAnsi="方正小标宋简体" w:cs="方正小标宋简体" w:hint="eastAsia"/>
          <w:w w:val="85"/>
          <w:sz w:val="56"/>
        </w:rPr>
        <w:t>濮阳市华龙区商务局</w:t>
      </w:r>
    </w:p>
    <w:p w:rsidR="00574B29" w:rsidRDefault="00454C62">
      <w:pPr>
        <w:jc w:val="center"/>
        <w:rPr>
          <w:rFonts w:ascii="方正小标宋简体" w:eastAsia="方正小标宋简体" w:hAnsi="方正小标宋简体" w:cs="方正小标宋简体"/>
          <w:spacing w:val="-20"/>
          <w:sz w:val="44"/>
        </w:rPr>
      </w:pPr>
      <w:r>
        <w:rPr>
          <w:rFonts w:ascii="方正小标宋简体" w:eastAsia="方正小标宋简体" w:hAnsi="方正小标宋简体" w:cs="方正小标宋简体" w:hint="eastAsia"/>
          <w:w w:val="85"/>
          <w:sz w:val="56"/>
        </w:rPr>
        <w:t>2020年部门预算公开说明</w:t>
      </w:r>
    </w:p>
    <w:p w:rsidR="00574B29" w:rsidRDefault="00574B29">
      <w:pPr>
        <w:jc w:val="center"/>
        <w:rPr>
          <w:rFonts w:ascii="方正小标宋_GBK" w:eastAsia="方正小标宋_GBK"/>
          <w:sz w:val="40"/>
        </w:rPr>
      </w:pPr>
    </w:p>
    <w:p w:rsidR="00574B29" w:rsidRDefault="00574B29">
      <w:pPr>
        <w:jc w:val="center"/>
        <w:rPr>
          <w:rFonts w:ascii="方正小标宋_GBK" w:eastAsia="方正小标宋_GBK"/>
          <w:sz w:val="40"/>
        </w:rPr>
      </w:pPr>
    </w:p>
    <w:p w:rsidR="00574B29" w:rsidRDefault="00574B29">
      <w:pPr>
        <w:jc w:val="center"/>
        <w:rPr>
          <w:rFonts w:ascii="方正小标宋_GBK" w:eastAsia="方正小标宋_GBK"/>
          <w:sz w:val="40"/>
        </w:rPr>
      </w:pPr>
    </w:p>
    <w:p w:rsidR="00574B29" w:rsidRDefault="00574B29">
      <w:pPr>
        <w:jc w:val="center"/>
        <w:rPr>
          <w:rFonts w:ascii="方正小标宋_GBK" w:eastAsia="方正小标宋_GBK"/>
          <w:sz w:val="40"/>
        </w:rPr>
      </w:pPr>
    </w:p>
    <w:p w:rsidR="00F63249" w:rsidRDefault="00F63249">
      <w:pPr>
        <w:jc w:val="center"/>
        <w:rPr>
          <w:rFonts w:ascii="方正小标宋_GBK" w:eastAsia="方正小标宋_GBK"/>
          <w:sz w:val="40"/>
        </w:rPr>
      </w:pPr>
    </w:p>
    <w:p w:rsidR="00F63249" w:rsidRDefault="00F63249">
      <w:pPr>
        <w:jc w:val="center"/>
        <w:rPr>
          <w:rFonts w:ascii="方正小标宋_GBK" w:eastAsia="方正小标宋_GBK"/>
          <w:sz w:val="40"/>
        </w:rPr>
      </w:pPr>
    </w:p>
    <w:p w:rsidR="00F63249" w:rsidRDefault="00F63249">
      <w:pPr>
        <w:jc w:val="center"/>
        <w:rPr>
          <w:rFonts w:ascii="方正小标宋_GBK" w:eastAsia="方正小标宋_GBK"/>
          <w:sz w:val="40"/>
        </w:rPr>
      </w:pPr>
    </w:p>
    <w:p w:rsidR="00F63249" w:rsidRDefault="00F63249">
      <w:pPr>
        <w:jc w:val="center"/>
        <w:rPr>
          <w:rFonts w:ascii="方正小标宋_GBK" w:eastAsia="方正小标宋_GBK"/>
          <w:sz w:val="40"/>
        </w:rPr>
      </w:pPr>
    </w:p>
    <w:p w:rsidR="00F63249" w:rsidRDefault="00F63249">
      <w:pPr>
        <w:jc w:val="center"/>
        <w:rPr>
          <w:rFonts w:ascii="方正小标宋_GBK" w:eastAsia="方正小标宋_GBK"/>
          <w:sz w:val="40"/>
        </w:rPr>
      </w:pPr>
    </w:p>
    <w:p w:rsidR="00574B29" w:rsidRDefault="00574B29">
      <w:pPr>
        <w:jc w:val="center"/>
        <w:rPr>
          <w:rFonts w:ascii="方正小标宋_GBK" w:eastAsia="方正小标宋_GBK"/>
          <w:sz w:val="40"/>
        </w:rPr>
      </w:pPr>
    </w:p>
    <w:p w:rsidR="00574B29" w:rsidRDefault="00574B29">
      <w:pPr>
        <w:rPr>
          <w:rFonts w:ascii="方正小标宋_GBK" w:eastAsia="方正小标宋_GBK"/>
          <w:sz w:val="40"/>
        </w:rPr>
      </w:pPr>
    </w:p>
    <w:p w:rsidR="00574B29" w:rsidRDefault="00574B29">
      <w:pPr>
        <w:jc w:val="center"/>
        <w:rPr>
          <w:rFonts w:ascii="方正小标宋_GBK" w:eastAsia="方正小标宋_GBK"/>
          <w:sz w:val="40"/>
        </w:rPr>
      </w:pPr>
    </w:p>
    <w:p w:rsidR="00574B29" w:rsidRDefault="00454C62">
      <w:pPr>
        <w:jc w:val="center"/>
        <w:rPr>
          <w:rFonts w:ascii="楷体_GB2312" w:eastAsia="楷体_GB2312"/>
          <w:b/>
          <w:w w:val="90"/>
          <w:sz w:val="40"/>
        </w:rPr>
      </w:pP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Ansi="楷体_GB2312" w:cs="楷体_GB2312" w:hint="eastAsia"/>
          <w:b/>
          <w:w w:val="90"/>
          <w:sz w:val="40"/>
        </w:rPr>
        <w:t>年六月</w:t>
      </w:r>
    </w:p>
    <w:p w:rsidR="00574B29" w:rsidRDefault="00454C62">
      <w:pPr>
        <w:widowControl/>
        <w:jc w:val="left"/>
        <w:rPr>
          <w:rFonts w:ascii="黑体" w:eastAsia="黑体" w:hAnsi="黑体" w:cs="宋体"/>
          <w:color w:val="000000"/>
          <w:kern w:val="0"/>
          <w:sz w:val="44"/>
          <w:szCs w:val="32"/>
        </w:rPr>
      </w:pPr>
      <w:r>
        <w:rPr>
          <w:rFonts w:ascii="黑体" w:eastAsia="黑体" w:hAnsi="黑体"/>
          <w:color w:val="000000"/>
          <w:sz w:val="44"/>
          <w:szCs w:val="32"/>
        </w:rPr>
        <w:br w:type="page"/>
      </w:r>
    </w:p>
    <w:p w:rsidR="00574B29" w:rsidRDefault="00574B29">
      <w:pPr>
        <w:pStyle w:val="a6"/>
        <w:topLinePunct/>
        <w:spacing w:before="0" w:beforeAutospacing="0" w:after="0" w:afterAutospacing="0" w:line="360" w:lineRule="auto"/>
        <w:ind w:firstLine="880"/>
        <w:jc w:val="center"/>
        <w:rPr>
          <w:rFonts w:ascii="黑体" w:eastAsia="黑体" w:hAnsi="黑体"/>
          <w:color w:val="000000"/>
          <w:sz w:val="44"/>
          <w:szCs w:val="32"/>
        </w:rPr>
      </w:pPr>
    </w:p>
    <w:p w:rsidR="00574B29" w:rsidRDefault="00454C62">
      <w:pPr>
        <w:pStyle w:val="a6"/>
        <w:topLinePunct/>
        <w:spacing w:before="0" w:beforeAutospacing="0" w:after="0" w:afterAutospacing="0" w:line="360" w:lineRule="auto"/>
        <w:jc w:val="center"/>
        <w:rPr>
          <w:rFonts w:ascii="黑体" w:eastAsia="黑体" w:hAnsi="黑体"/>
          <w:color w:val="000000"/>
          <w:sz w:val="44"/>
          <w:szCs w:val="32"/>
        </w:rPr>
      </w:pPr>
      <w:r>
        <w:rPr>
          <w:rFonts w:ascii="黑体" w:eastAsia="黑体" w:hAnsi="黑体" w:hint="eastAsia"/>
          <w:color w:val="000000"/>
          <w:sz w:val="44"/>
          <w:szCs w:val="32"/>
        </w:rPr>
        <w:t>目 录</w:t>
      </w:r>
    </w:p>
    <w:p w:rsidR="00574B29" w:rsidRDefault="00574B29">
      <w:pPr>
        <w:pStyle w:val="a6"/>
        <w:topLinePunct/>
        <w:spacing w:before="0" w:beforeAutospacing="0" w:after="0" w:afterAutospacing="0" w:line="360" w:lineRule="auto"/>
        <w:ind w:firstLine="720"/>
        <w:jc w:val="center"/>
        <w:rPr>
          <w:rFonts w:ascii="黑体" w:eastAsia="黑体" w:hAnsi="黑体"/>
          <w:color w:val="000000"/>
          <w:sz w:val="36"/>
          <w:szCs w:val="32"/>
        </w:rPr>
      </w:pPr>
    </w:p>
    <w:p w:rsidR="00574B29" w:rsidRDefault="00454C62">
      <w:pPr>
        <w:pStyle w:val="a6"/>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第一部分部门概况</w:t>
      </w:r>
      <w:r>
        <w:rPr>
          <w:rFonts w:hint="eastAsia"/>
          <w:color w:val="000000"/>
          <w:sz w:val="32"/>
          <w:szCs w:val="32"/>
        </w:rPr>
        <w:t> </w:t>
      </w:r>
    </w:p>
    <w:p w:rsidR="00574B29" w:rsidRDefault="00454C62">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一、部门主要职责</w:t>
      </w:r>
    </w:p>
    <w:p w:rsidR="00574B29" w:rsidRDefault="00454C62">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二、机构设置情况</w:t>
      </w:r>
    </w:p>
    <w:p w:rsidR="00574B29" w:rsidRDefault="00454C62">
      <w:pPr>
        <w:pStyle w:val="a6"/>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第二部分 2020年部门预算情况说明</w:t>
      </w:r>
    </w:p>
    <w:p w:rsidR="00574B29" w:rsidRDefault="00454C62">
      <w:pPr>
        <w:pStyle w:val="a6"/>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第三部分名词解释</w:t>
      </w:r>
    </w:p>
    <w:p w:rsidR="00574B29" w:rsidRDefault="00574B29">
      <w:pPr>
        <w:pStyle w:val="a6"/>
        <w:overflowPunct w:val="0"/>
        <w:topLinePunct/>
        <w:spacing w:before="0" w:beforeAutospacing="0" w:after="0" w:afterAutospacing="0" w:line="360" w:lineRule="auto"/>
        <w:ind w:firstLine="640"/>
        <w:jc w:val="both"/>
        <w:rPr>
          <w:rFonts w:ascii="黑体" w:eastAsia="黑体" w:hAnsi="黑体"/>
          <w:color w:val="000000"/>
          <w:sz w:val="32"/>
          <w:szCs w:val="32"/>
        </w:rPr>
      </w:pPr>
    </w:p>
    <w:p w:rsidR="00574B29" w:rsidRDefault="00454C62">
      <w:pPr>
        <w:pStyle w:val="a6"/>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附件：</w:t>
      </w:r>
      <w:r w:rsidR="00F63249" w:rsidRPr="00F63249">
        <w:rPr>
          <w:rFonts w:ascii="黑体" w:eastAsia="黑体" w:hAnsi="黑体" w:hint="eastAsia"/>
          <w:color w:val="000000"/>
          <w:sz w:val="32"/>
          <w:szCs w:val="32"/>
        </w:rPr>
        <w:t>濮阳市华龙区商务局</w:t>
      </w:r>
      <w:r>
        <w:rPr>
          <w:rFonts w:ascii="黑体" w:eastAsia="黑体" w:hAnsi="黑体" w:hint="eastAsia"/>
          <w:color w:val="000000"/>
          <w:sz w:val="32"/>
          <w:szCs w:val="32"/>
        </w:rPr>
        <w:t>2020年部门预算表</w:t>
      </w:r>
    </w:p>
    <w:p w:rsidR="00574B29" w:rsidRDefault="00454C62">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一、部门收支总表</w:t>
      </w:r>
    </w:p>
    <w:p w:rsidR="00574B29" w:rsidRDefault="00454C62">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二、部门收入总表</w:t>
      </w:r>
    </w:p>
    <w:p w:rsidR="00574B29" w:rsidRDefault="00454C62">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三、部门支出总表</w:t>
      </w:r>
    </w:p>
    <w:p w:rsidR="00574B29" w:rsidRDefault="00454C62">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四、财政拨款收支总表</w:t>
      </w:r>
    </w:p>
    <w:p w:rsidR="00574B29" w:rsidRDefault="00454C62">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五、一般公共预算支出表</w:t>
      </w:r>
    </w:p>
    <w:p w:rsidR="00574B29" w:rsidRDefault="00454C62">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六、一般公共预算基本支出表</w:t>
      </w:r>
    </w:p>
    <w:p w:rsidR="00574B29" w:rsidRDefault="00454C62">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七、一般公共预算“三公”经费支出表</w:t>
      </w:r>
    </w:p>
    <w:p w:rsidR="00574B29" w:rsidRDefault="00454C62">
      <w:pPr>
        <w:pStyle w:val="a6"/>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八、政府性基金预算支出表</w:t>
      </w:r>
    </w:p>
    <w:p w:rsidR="00574B29" w:rsidRDefault="00574B29">
      <w:pPr>
        <w:ind w:firstLineChars="200" w:firstLine="640"/>
        <w:rPr>
          <w:rFonts w:ascii="黑体" w:eastAsia="黑体" w:hAnsi="黑体"/>
          <w:szCs w:val="32"/>
        </w:rPr>
      </w:pPr>
    </w:p>
    <w:p w:rsidR="00574B29" w:rsidRDefault="00454C62">
      <w:pPr>
        <w:rPr>
          <w:rFonts w:ascii="黑体" w:eastAsia="黑体" w:hAnsi="黑体"/>
          <w:szCs w:val="32"/>
        </w:rPr>
      </w:pPr>
      <w:r>
        <w:rPr>
          <w:rFonts w:ascii="黑体" w:eastAsia="黑体" w:hAnsi="黑体"/>
          <w:szCs w:val="32"/>
        </w:rPr>
        <w:br w:type="page"/>
      </w:r>
    </w:p>
    <w:p w:rsidR="00574B29" w:rsidRDefault="00574B29">
      <w:pPr>
        <w:ind w:firstLineChars="200" w:firstLine="640"/>
        <w:rPr>
          <w:rFonts w:ascii="黑体" w:eastAsia="黑体" w:hAnsi="黑体"/>
          <w:szCs w:val="32"/>
        </w:rPr>
      </w:pPr>
    </w:p>
    <w:p w:rsidR="00574B29" w:rsidRDefault="00454C62">
      <w:pPr>
        <w:pStyle w:val="a6"/>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第一部分</w:t>
      </w:r>
    </w:p>
    <w:p w:rsidR="00574B29" w:rsidRDefault="00454C62">
      <w:pPr>
        <w:pStyle w:val="a6"/>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部门概况</w:t>
      </w:r>
    </w:p>
    <w:p w:rsidR="00574B29" w:rsidRDefault="00454C62">
      <w:pPr>
        <w:ind w:firstLineChars="200" w:firstLine="640"/>
        <w:rPr>
          <w:rFonts w:ascii="黑体" w:eastAsia="黑体" w:hAnsi="黑体"/>
          <w:szCs w:val="32"/>
        </w:rPr>
      </w:pPr>
      <w:r>
        <w:rPr>
          <w:rFonts w:ascii="黑体" w:eastAsia="黑体" w:hAnsi="黑体"/>
          <w:szCs w:val="32"/>
        </w:rPr>
        <w:t> </w:t>
      </w:r>
    </w:p>
    <w:p w:rsidR="00574B29" w:rsidRDefault="00454C62">
      <w:pPr>
        <w:ind w:firstLineChars="200" w:firstLine="640"/>
        <w:rPr>
          <w:rFonts w:hAnsi="仿宋"/>
          <w:szCs w:val="32"/>
        </w:rPr>
      </w:pPr>
      <w:r>
        <w:rPr>
          <w:rFonts w:ascii="黑体" w:eastAsia="黑体" w:hAnsi="黑体" w:hint="eastAsia"/>
          <w:szCs w:val="32"/>
        </w:rPr>
        <w:t>一、部门主要职责</w:t>
      </w:r>
    </w:p>
    <w:p w:rsidR="00574B29" w:rsidRPr="00F63249" w:rsidRDefault="00454C62">
      <w:pPr>
        <w:snapToGrid w:val="0"/>
        <w:spacing w:line="520" w:lineRule="exact"/>
        <w:ind w:firstLineChars="200" w:firstLine="640"/>
        <w:rPr>
          <w:rFonts w:ascii="仿宋" w:eastAsia="仿宋" w:hAnsi="仿宋"/>
          <w:szCs w:val="32"/>
        </w:rPr>
      </w:pPr>
      <w:r w:rsidRPr="00F63249">
        <w:rPr>
          <w:rFonts w:ascii="仿宋" w:eastAsia="仿宋" w:hAnsi="仿宋" w:hint="eastAsia"/>
          <w:szCs w:val="32"/>
        </w:rPr>
        <w:t>1、贯彻落实国家、省、市有关内外贸易和国际经济技术合作的发展战略、政策，拟订全区相应的发展规划以及规定、办法和措施，研究流通体制改革并提出建议。</w:t>
      </w:r>
    </w:p>
    <w:p w:rsidR="00574B29" w:rsidRPr="00F63249" w:rsidRDefault="00454C62">
      <w:pPr>
        <w:snapToGrid w:val="0"/>
        <w:spacing w:line="520" w:lineRule="exact"/>
        <w:ind w:firstLineChars="200" w:firstLine="640"/>
        <w:rPr>
          <w:rFonts w:ascii="仿宋" w:eastAsia="仿宋" w:hAnsi="仿宋"/>
          <w:szCs w:val="32"/>
        </w:rPr>
      </w:pPr>
      <w:r w:rsidRPr="00F63249">
        <w:rPr>
          <w:rFonts w:ascii="仿宋" w:eastAsia="仿宋" w:hAnsi="仿宋" w:hint="eastAsia"/>
          <w:szCs w:val="32"/>
        </w:rPr>
        <w:t>2、负责推进全区流通产业结构调整，指导流通企业改革、商贸服务业和社区商业发展，提出促进商贸中小企业发展的政策建议，推动流通标准化和连锁经营、商业特许经营、物流配送、电子商务等现代流通方式的发展。</w:t>
      </w:r>
    </w:p>
    <w:p w:rsidR="00574B29" w:rsidRPr="00F63249" w:rsidRDefault="00454C62">
      <w:pPr>
        <w:snapToGrid w:val="0"/>
        <w:spacing w:line="520" w:lineRule="exact"/>
        <w:ind w:firstLineChars="200" w:firstLine="640"/>
        <w:rPr>
          <w:rFonts w:ascii="仿宋" w:eastAsia="仿宋" w:hAnsi="仿宋"/>
          <w:szCs w:val="32"/>
        </w:rPr>
      </w:pPr>
      <w:r w:rsidRPr="00F63249">
        <w:rPr>
          <w:rFonts w:ascii="仿宋" w:eastAsia="仿宋" w:hAnsi="仿宋" w:hint="eastAsia"/>
          <w:szCs w:val="32"/>
        </w:rPr>
        <w:t>3、贯彻落实国家、省、市对外开放的战略和方针、政策,负责全区对外开放的宏观指导和组织协调,拟订全区对外开放长远规划、相关政策措施;研究推进开放带动主战略实施的长效机制;督促检查对外开放政策措施的落实情况,协调解决对外开放工作中出现的重大问题。</w:t>
      </w:r>
    </w:p>
    <w:p w:rsidR="00574B29" w:rsidRPr="00F63249" w:rsidRDefault="00454C62">
      <w:pPr>
        <w:snapToGrid w:val="0"/>
        <w:spacing w:line="520" w:lineRule="exact"/>
        <w:ind w:firstLineChars="200" w:firstLine="640"/>
        <w:rPr>
          <w:rFonts w:ascii="仿宋" w:eastAsia="仿宋" w:hAnsi="仿宋"/>
          <w:szCs w:val="32"/>
        </w:rPr>
      </w:pPr>
      <w:r w:rsidRPr="00F63249">
        <w:rPr>
          <w:rFonts w:ascii="仿宋" w:eastAsia="仿宋" w:hAnsi="仿宋" w:hint="eastAsia"/>
          <w:szCs w:val="32"/>
        </w:rPr>
        <w:t xml:space="preserve"> 4、负责全区市场体系建设工作,拟订全区国内贸易中长期发展规划,指导大宗产品批发市场规划和城市商业网点规划、商业体系建设,推进农村市场体系建设,组织实施农村现代流通网络工程,促进城乡市场体系建设和发展;负责统筹拟订全区流通产业发展规划、促进政策,推进全区流通产业结构调整,指导流通企业改革、流通领域节能降耗、商贸服务业和社区商业发展,推动流通标准化和连锁经营、物流配送等现代流通方式发展;推动流通品牌建设。</w:t>
      </w:r>
    </w:p>
    <w:p w:rsidR="00574B29" w:rsidRPr="00F63249" w:rsidRDefault="00454C62">
      <w:pPr>
        <w:snapToGrid w:val="0"/>
        <w:spacing w:line="520" w:lineRule="exact"/>
        <w:ind w:firstLineChars="200" w:firstLine="640"/>
        <w:rPr>
          <w:rFonts w:ascii="仿宋" w:eastAsia="仿宋" w:hAnsi="仿宋"/>
          <w:szCs w:val="32"/>
        </w:rPr>
      </w:pPr>
      <w:r w:rsidRPr="00F63249">
        <w:rPr>
          <w:rFonts w:ascii="仿宋" w:eastAsia="仿宋" w:hAnsi="仿宋" w:hint="eastAsia"/>
          <w:szCs w:val="32"/>
        </w:rPr>
        <w:lastRenderedPageBreak/>
        <w:t xml:space="preserve"> 5、拟订并组织实施全区新型网络经济特别是电子商务发展规划和政策措施,积极推进我区电子商务制度建设,大力拓展和深化电子商务应用;贯彻执行国家、省、市电子商务行业规范和标准,推动电子商务服务体系建设,建立电子商务统计和评价体系;规范电子商务经营行为和流通秩序。</w:t>
      </w:r>
    </w:p>
    <w:p w:rsidR="00574B29" w:rsidRPr="00F63249" w:rsidRDefault="00454C62">
      <w:pPr>
        <w:snapToGrid w:val="0"/>
        <w:spacing w:line="520" w:lineRule="exact"/>
        <w:ind w:firstLineChars="200" w:firstLine="640"/>
        <w:rPr>
          <w:rFonts w:ascii="仿宋" w:eastAsia="仿宋" w:hAnsi="仿宋"/>
          <w:szCs w:val="32"/>
        </w:rPr>
      </w:pPr>
      <w:r w:rsidRPr="00F63249">
        <w:rPr>
          <w:rFonts w:ascii="仿宋" w:eastAsia="仿宋" w:hAnsi="仿宋" w:hint="eastAsia"/>
          <w:szCs w:val="32"/>
        </w:rPr>
        <w:t>6、承担牵头协调整顿和规范市场经济秩序工作的责任，拟订全区规范市场运行、流通秩序的政策，推动商务领域信用建设，指导商业信用销售，建立市场诚信公共服务平台，会同有关部门开展打击侵犯知识产权、制售假冒伪劣商品、商业欺诈等扰乱市场秩序行为工作；负责全区商务执法工作。</w:t>
      </w:r>
    </w:p>
    <w:p w:rsidR="00574B29" w:rsidRPr="00F63249" w:rsidRDefault="00454C62">
      <w:pPr>
        <w:snapToGrid w:val="0"/>
        <w:spacing w:line="520" w:lineRule="exact"/>
        <w:ind w:firstLineChars="200" w:firstLine="640"/>
        <w:rPr>
          <w:rFonts w:ascii="仿宋" w:eastAsia="仿宋" w:hAnsi="仿宋"/>
          <w:szCs w:val="32"/>
        </w:rPr>
      </w:pPr>
      <w:r w:rsidRPr="00F63249">
        <w:rPr>
          <w:rFonts w:ascii="仿宋" w:eastAsia="仿宋" w:hAnsi="仿宋" w:hint="eastAsia"/>
          <w:szCs w:val="32"/>
        </w:rPr>
        <w:t>7、承担组织实施全区重要消费品市场调控和重要生产资料流通管理的责任，负责建立健全生活必需品市场供应应急管理机制，检测分析市场运行、商品供求状况，调查分析商品价格信息，进行预测预警和信息引导，按分工负责重要消费品储备管理和市场调控工作，按有关规定对成品油和酒类等商品的流通进行监督管理。</w:t>
      </w:r>
    </w:p>
    <w:p w:rsidR="00574B29" w:rsidRPr="00F63249" w:rsidRDefault="00454C62">
      <w:pPr>
        <w:snapToGrid w:val="0"/>
        <w:spacing w:line="520" w:lineRule="exact"/>
        <w:ind w:firstLineChars="200" w:firstLine="640"/>
        <w:rPr>
          <w:rFonts w:ascii="仿宋" w:eastAsia="仿宋" w:hAnsi="仿宋"/>
          <w:szCs w:val="32"/>
        </w:rPr>
      </w:pPr>
      <w:r w:rsidRPr="00F63249">
        <w:rPr>
          <w:rFonts w:ascii="仿宋" w:eastAsia="仿宋" w:hAnsi="仿宋" w:hint="eastAsia"/>
          <w:szCs w:val="32"/>
        </w:rPr>
        <w:t>8、执行国家进出口商品、加工贸易管理办法和进出口管理商品、技术目录，执行国家对外技术贸易、进出口管制以及鼓励技术和成套设备进出口的贸易政策，推进进出口贸易标准化工作，执行国家服务贸易发展规划，会同有关部门制订全区促进服务出口和服务外包发展的规划、政策并组织实施，推动服务外包平台建设。</w:t>
      </w:r>
    </w:p>
    <w:p w:rsidR="00574B29" w:rsidRPr="00F63249" w:rsidRDefault="00454C62">
      <w:pPr>
        <w:snapToGrid w:val="0"/>
        <w:spacing w:line="520" w:lineRule="exact"/>
        <w:ind w:firstLineChars="200" w:firstLine="640"/>
        <w:rPr>
          <w:rFonts w:ascii="仿宋" w:eastAsia="仿宋" w:hAnsi="仿宋"/>
          <w:szCs w:val="32"/>
        </w:rPr>
      </w:pPr>
      <w:r w:rsidRPr="00F63249">
        <w:rPr>
          <w:rFonts w:ascii="仿宋" w:eastAsia="仿宋" w:hAnsi="仿宋" w:hint="eastAsia"/>
          <w:szCs w:val="32"/>
        </w:rPr>
        <w:t xml:space="preserve"> 9、负责全区商务系统涉及世界贸易组织相关事务的研究、指导和服务工作，承担组织协调反倾销、反补贴、保障措施及其他与进出口公平贸易相关工作的责任，建立进出口公平贸易预警机制,组织产业损害、反垄断调查,指导协调产</w:t>
      </w:r>
      <w:r w:rsidRPr="00F63249">
        <w:rPr>
          <w:rFonts w:ascii="仿宋" w:eastAsia="仿宋" w:hAnsi="仿宋" w:hint="eastAsia"/>
          <w:szCs w:val="32"/>
        </w:rPr>
        <w:lastRenderedPageBreak/>
        <w:t>业安全应对工作;研究拟定我区反垄断相关政策,指导企业在国外的反垄断应诉工作。</w:t>
      </w:r>
    </w:p>
    <w:p w:rsidR="00574B29" w:rsidRPr="00F63249" w:rsidRDefault="00454C62">
      <w:pPr>
        <w:snapToGrid w:val="0"/>
        <w:spacing w:line="520" w:lineRule="exact"/>
        <w:ind w:firstLineChars="200" w:firstLine="640"/>
        <w:rPr>
          <w:rFonts w:ascii="仿宋" w:eastAsia="仿宋" w:hAnsi="仿宋"/>
          <w:szCs w:val="32"/>
        </w:rPr>
      </w:pPr>
      <w:r w:rsidRPr="00F63249">
        <w:rPr>
          <w:rFonts w:ascii="仿宋" w:eastAsia="仿宋" w:hAnsi="仿宋" w:hint="eastAsia"/>
          <w:szCs w:val="32"/>
        </w:rPr>
        <w:t>10、贯彻执行国家、省、市有关对外开放、招商引资等方面的法律法规和方针政策，拟订全区外商投资政策和改革方案并组织实施，指导全区外商投资工作；参与拟订全区利用外资的中长期规划，依法审核外商投资企业的设立及变更事项、重大外商投资项目的合同章程及法律特别规定的重大变更事项，依法监督检查外商投资企业执行有关法律、法规、规章和合同章程的情况并协调解决有关问题，指导投资促进及外商投资企业审批工作，规范对外招商引资活动，指导产业集聚区的有关工作。</w:t>
      </w:r>
    </w:p>
    <w:p w:rsidR="00574B29" w:rsidRPr="00F63249" w:rsidRDefault="00454C62">
      <w:pPr>
        <w:snapToGrid w:val="0"/>
        <w:spacing w:line="520" w:lineRule="exact"/>
        <w:ind w:firstLineChars="200" w:firstLine="640"/>
        <w:rPr>
          <w:rFonts w:ascii="仿宋" w:eastAsia="仿宋" w:hAnsi="仿宋"/>
          <w:szCs w:val="32"/>
        </w:rPr>
      </w:pPr>
      <w:r w:rsidRPr="00F63249">
        <w:rPr>
          <w:rFonts w:ascii="仿宋" w:eastAsia="仿宋" w:hAnsi="仿宋" w:hint="eastAsia"/>
          <w:szCs w:val="32"/>
        </w:rPr>
        <w:t>11、负责全区对外经济合作工作，贯彻执行对外经济合作政策，依法管理和监督对外承包工程、对外劳务合作等，执行国家有关中国公民出境就业管理政策，负责牵头外派劳务和境外就业人员的权益保护工作，执行境外投资的管理办法和具体政策，依法审核区内企业对外投资开办企业（金融企业除外）。</w:t>
      </w:r>
    </w:p>
    <w:p w:rsidR="00574B29" w:rsidRPr="00F63249" w:rsidRDefault="00454C62">
      <w:pPr>
        <w:snapToGrid w:val="0"/>
        <w:spacing w:line="520" w:lineRule="exact"/>
        <w:ind w:firstLineChars="200" w:firstLine="640"/>
        <w:rPr>
          <w:rFonts w:ascii="仿宋" w:eastAsia="仿宋" w:hAnsi="仿宋"/>
          <w:szCs w:val="32"/>
        </w:rPr>
      </w:pPr>
      <w:r w:rsidRPr="00F63249">
        <w:rPr>
          <w:rFonts w:ascii="仿宋" w:eastAsia="仿宋" w:hAnsi="仿宋" w:hint="eastAsia"/>
          <w:szCs w:val="32"/>
        </w:rPr>
        <w:t>12、组织申报、统筹指导并规范管理以区政府名义在境内外举办或参加的博览会、展销会、交易会和国际性会议等经贸交流活动。</w:t>
      </w:r>
    </w:p>
    <w:p w:rsidR="00574B29" w:rsidRPr="00F63249" w:rsidRDefault="00454C62">
      <w:pPr>
        <w:snapToGrid w:val="0"/>
        <w:spacing w:line="520" w:lineRule="exact"/>
        <w:ind w:firstLineChars="200" w:firstLine="640"/>
        <w:rPr>
          <w:rFonts w:ascii="仿宋" w:eastAsia="仿宋" w:hAnsi="仿宋"/>
          <w:szCs w:val="32"/>
        </w:rPr>
      </w:pPr>
      <w:r w:rsidRPr="00F63249">
        <w:rPr>
          <w:rFonts w:ascii="仿宋" w:eastAsia="仿宋" w:hAnsi="仿宋" w:hint="eastAsia"/>
          <w:szCs w:val="32"/>
        </w:rPr>
        <w:t>13、牵头负责国内经济技术合作和区域性经贸交流活动,负责境内招商引资及统计工作。</w:t>
      </w:r>
    </w:p>
    <w:p w:rsidR="00574B29" w:rsidRPr="00F63249" w:rsidRDefault="00454C62">
      <w:pPr>
        <w:snapToGrid w:val="0"/>
        <w:spacing w:line="520" w:lineRule="exact"/>
        <w:ind w:firstLineChars="200" w:firstLine="640"/>
        <w:rPr>
          <w:rFonts w:ascii="仿宋" w:eastAsia="仿宋" w:hAnsi="仿宋"/>
          <w:szCs w:val="32"/>
        </w:rPr>
      </w:pPr>
      <w:r w:rsidRPr="00F63249">
        <w:rPr>
          <w:rFonts w:ascii="仿宋" w:eastAsia="仿宋" w:hAnsi="仿宋" w:hint="eastAsia"/>
          <w:szCs w:val="32"/>
        </w:rPr>
        <w:t>14、承办区政府交办的其他事项。</w:t>
      </w:r>
    </w:p>
    <w:p w:rsidR="00574B29" w:rsidRPr="00F63249" w:rsidRDefault="00454C62">
      <w:pPr>
        <w:ind w:firstLineChars="200" w:firstLine="640"/>
        <w:rPr>
          <w:rFonts w:ascii="黑体" w:eastAsia="黑体" w:hAnsi="黑体"/>
          <w:szCs w:val="32"/>
        </w:rPr>
      </w:pPr>
      <w:r w:rsidRPr="00F63249">
        <w:rPr>
          <w:rFonts w:ascii="黑体" w:eastAsia="黑体" w:hAnsi="黑体" w:hint="eastAsia"/>
          <w:szCs w:val="32"/>
        </w:rPr>
        <w:t>二、机构设置情况</w:t>
      </w:r>
    </w:p>
    <w:p w:rsidR="00574B29" w:rsidRPr="00F63249" w:rsidRDefault="00454C62" w:rsidP="00F63249">
      <w:pPr>
        <w:snapToGrid w:val="0"/>
        <w:spacing w:line="520" w:lineRule="exact"/>
        <w:ind w:firstLineChars="200" w:firstLine="640"/>
        <w:rPr>
          <w:rFonts w:ascii="仿宋" w:eastAsia="仿宋" w:hAnsi="仿宋"/>
          <w:szCs w:val="32"/>
        </w:rPr>
      </w:pPr>
      <w:r w:rsidRPr="00F63249">
        <w:rPr>
          <w:rFonts w:ascii="仿宋" w:eastAsia="仿宋" w:hAnsi="仿宋" w:hint="eastAsia"/>
          <w:szCs w:val="32"/>
        </w:rPr>
        <w:t>根据上述职责,区商务局设4个内设机构:办公室,商贸服务业发展股,市场体系建设及管理股,外经外贸及外商投</w:t>
      </w:r>
      <w:r w:rsidRPr="00F63249">
        <w:rPr>
          <w:rFonts w:ascii="仿宋" w:eastAsia="仿宋" w:hAnsi="仿宋" w:hint="eastAsia"/>
          <w:szCs w:val="32"/>
        </w:rPr>
        <w:lastRenderedPageBreak/>
        <w:t>资促进股。本部门无独立核算的下属预算单位，部门本级预算即汇总预算。</w:t>
      </w:r>
    </w:p>
    <w:p w:rsidR="00574B29" w:rsidRDefault="00574B29">
      <w:pPr>
        <w:ind w:firstLineChars="200" w:firstLine="640"/>
        <w:rPr>
          <w:rFonts w:ascii="黑体" w:eastAsia="黑体" w:hAnsi="黑体"/>
          <w:szCs w:val="32"/>
        </w:rPr>
      </w:pPr>
    </w:p>
    <w:p w:rsidR="00574B29" w:rsidRDefault="00454C62">
      <w:pPr>
        <w:pStyle w:val="a6"/>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第二部分</w:t>
      </w:r>
    </w:p>
    <w:p w:rsidR="00574B29" w:rsidRDefault="00454C62">
      <w:pPr>
        <w:pStyle w:val="a6"/>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2020年部门预算情况说明</w:t>
      </w:r>
    </w:p>
    <w:p w:rsidR="00574B29" w:rsidRDefault="00574B29">
      <w:pPr>
        <w:ind w:firstLineChars="200" w:firstLine="640"/>
        <w:rPr>
          <w:rFonts w:ascii="华文仿宋" w:eastAsia="华文仿宋" w:hAnsi="华文仿宋"/>
          <w:szCs w:val="32"/>
        </w:rPr>
      </w:pPr>
    </w:p>
    <w:p w:rsidR="00574B29" w:rsidRDefault="00454C62">
      <w:pPr>
        <w:ind w:firstLineChars="200" w:firstLine="640"/>
        <w:rPr>
          <w:rFonts w:ascii="黑体" w:eastAsia="黑体" w:hAnsi="黑体"/>
          <w:szCs w:val="32"/>
        </w:rPr>
      </w:pPr>
      <w:r>
        <w:rPr>
          <w:rFonts w:ascii="黑体" w:eastAsia="黑体" w:hAnsi="黑体" w:hint="eastAsia"/>
          <w:szCs w:val="32"/>
        </w:rPr>
        <w:t>一、本级预算和所属单位预算在内的汇总预算总体情况</w:t>
      </w:r>
    </w:p>
    <w:p w:rsidR="00574B29" w:rsidRDefault="00454C62" w:rsidP="00F63249">
      <w:pPr>
        <w:ind w:firstLineChars="200" w:firstLine="640"/>
        <w:rPr>
          <w:rFonts w:ascii="仿宋" w:eastAsia="仿宋" w:hAnsi="仿宋"/>
          <w:szCs w:val="32"/>
        </w:rPr>
      </w:pPr>
      <w:r>
        <w:rPr>
          <w:rFonts w:ascii="仿宋" w:eastAsia="仿宋" w:hAnsi="仿宋" w:hint="eastAsia"/>
          <w:szCs w:val="32"/>
        </w:rPr>
        <w:t>本部门无独立核算的下属预算单位，部门本级预算即汇总预算。</w:t>
      </w:r>
      <w:r>
        <w:rPr>
          <w:rFonts w:ascii="仿宋" w:eastAsia="仿宋" w:hAnsi="仿宋"/>
          <w:szCs w:val="32"/>
        </w:rPr>
        <w:t>20</w:t>
      </w:r>
      <w:r>
        <w:rPr>
          <w:rFonts w:ascii="仿宋" w:eastAsia="仿宋" w:hAnsi="仿宋" w:hint="eastAsia"/>
          <w:szCs w:val="32"/>
        </w:rPr>
        <w:t>20年本部门预算收入总计285.01万元，支出总计285.01万元。</w:t>
      </w:r>
    </w:p>
    <w:p w:rsidR="00574B29" w:rsidRDefault="00454C62">
      <w:pPr>
        <w:ind w:firstLineChars="200" w:firstLine="640"/>
        <w:rPr>
          <w:rFonts w:ascii="黑体" w:eastAsia="黑体" w:hAnsi="黑体"/>
          <w:szCs w:val="32"/>
        </w:rPr>
      </w:pPr>
      <w:r>
        <w:rPr>
          <w:rFonts w:ascii="黑体" w:eastAsia="黑体" w:hAnsi="黑体" w:hint="eastAsia"/>
          <w:szCs w:val="32"/>
        </w:rPr>
        <w:t>二、部门预算收支增减变动情况</w:t>
      </w:r>
    </w:p>
    <w:p w:rsidR="00574B29" w:rsidRDefault="00454C62">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20年本部门预算收入总计285.01万元，支出总计285.01万元。其中：基本支出277.01万元，占比97.2%，项目支出8万元，占比2.8%。</w:t>
      </w:r>
    </w:p>
    <w:p w:rsidR="00574B29" w:rsidRDefault="00454C62">
      <w:pPr>
        <w:ind w:firstLineChars="200" w:firstLine="640"/>
        <w:rPr>
          <w:rFonts w:ascii="仿宋" w:eastAsia="仿宋" w:hAnsi="仿宋"/>
          <w:szCs w:val="32"/>
        </w:rPr>
      </w:pPr>
      <w:r>
        <w:rPr>
          <w:rFonts w:ascii="仿宋" w:eastAsia="仿宋" w:hAnsi="仿宋" w:hint="eastAsia"/>
          <w:szCs w:val="32"/>
        </w:rPr>
        <w:t>2020年本部门预算</w:t>
      </w:r>
      <w:r w:rsidR="006E16BE">
        <w:rPr>
          <w:rFonts w:ascii="仿宋" w:eastAsia="仿宋" w:hAnsi="仿宋" w:hint="eastAsia"/>
          <w:szCs w:val="32"/>
        </w:rPr>
        <w:t>收入和支出均</w:t>
      </w:r>
      <w:r>
        <w:rPr>
          <w:rFonts w:ascii="仿宋" w:eastAsia="仿宋" w:hAnsi="仿宋" w:hint="eastAsia"/>
          <w:szCs w:val="32"/>
        </w:rPr>
        <w:t>较上年减少9.7万元，减少3.4</w:t>
      </w:r>
      <w:r>
        <w:rPr>
          <w:rFonts w:ascii="仿宋" w:eastAsia="仿宋" w:hAnsi="仿宋"/>
          <w:szCs w:val="32"/>
        </w:rPr>
        <w:t>%</w:t>
      </w:r>
      <w:r>
        <w:rPr>
          <w:rFonts w:ascii="仿宋" w:eastAsia="仿宋" w:hAnsi="仿宋" w:hint="eastAsia"/>
          <w:szCs w:val="32"/>
        </w:rPr>
        <w:t>，主要原因是</w:t>
      </w:r>
      <w:r w:rsidR="00F63249">
        <w:rPr>
          <w:rFonts w:ascii="仿宋" w:eastAsia="仿宋" w:hAnsi="仿宋" w:hint="eastAsia"/>
          <w:szCs w:val="32"/>
        </w:rPr>
        <w:t>根据工作实际和全区财力状况压减</w:t>
      </w:r>
      <w:r>
        <w:rPr>
          <w:rFonts w:ascii="仿宋" w:eastAsia="仿宋" w:hAnsi="仿宋" w:hint="eastAsia"/>
          <w:szCs w:val="32"/>
        </w:rPr>
        <w:t>项目支出。</w:t>
      </w:r>
    </w:p>
    <w:p w:rsidR="00574B29" w:rsidRDefault="00454C62">
      <w:pPr>
        <w:ind w:firstLineChars="200" w:firstLine="640"/>
        <w:rPr>
          <w:rFonts w:ascii="黑体" w:eastAsia="黑体" w:hAnsi="黑体"/>
          <w:szCs w:val="32"/>
        </w:rPr>
      </w:pPr>
      <w:r>
        <w:rPr>
          <w:rFonts w:ascii="黑体" w:eastAsia="黑体" w:hAnsi="黑体" w:hint="eastAsia"/>
          <w:szCs w:val="32"/>
        </w:rPr>
        <w:t>三、一般公共预算基本支出情况</w:t>
      </w:r>
    </w:p>
    <w:p w:rsidR="00574B29" w:rsidRDefault="00454C62">
      <w:pPr>
        <w:ind w:firstLineChars="200" w:firstLine="640"/>
        <w:rPr>
          <w:rFonts w:ascii="仿宋" w:eastAsia="仿宋" w:hAnsi="仿宋"/>
          <w:szCs w:val="32"/>
        </w:rPr>
      </w:pPr>
      <w:r>
        <w:rPr>
          <w:rFonts w:ascii="仿宋" w:eastAsia="仿宋" w:hAnsi="仿宋" w:hint="eastAsia"/>
          <w:szCs w:val="32"/>
        </w:rPr>
        <w:t>2020年本部门一般公共预算基本支出277.01万元，其中：人员经费263.41万元，主要包括：基本工资、津贴补贴、绩效工资、机关事业单位基本养老保险缴费、医疗保险缴费、其他社会保障缴费、住房公积金、退休费；公用经费</w:t>
      </w:r>
      <w:r>
        <w:rPr>
          <w:rFonts w:ascii="仿宋" w:eastAsia="仿宋" w:hAnsi="仿宋" w:hint="eastAsia"/>
          <w:szCs w:val="32"/>
        </w:rPr>
        <w:lastRenderedPageBreak/>
        <w:t>13.6万元，主要包括：办公费、公务接待费、公务用车运行维护费</w:t>
      </w:r>
      <w:r w:rsidR="00F63249">
        <w:rPr>
          <w:rFonts w:ascii="仿宋" w:eastAsia="仿宋" w:hAnsi="仿宋" w:hint="eastAsia"/>
          <w:szCs w:val="32"/>
        </w:rPr>
        <w:t>等</w:t>
      </w:r>
      <w:r>
        <w:rPr>
          <w:rFonts w:ascii="仿宋" w:eastAsia="仿宋" w:hAnsi="仿宋" w:hint="eastAsia"/>
          <w:szCs w:val="32"/>
        </w:rPr>
        <w:t>。</w:t>
      </w:r>
    </w:p>
    <w:p w:rsidR="00574B29" w:rsidRDefault="00454C62">
      <w:pPr>
        <w:ind w:firstLineChars="200" w:firstLine="640"/>
        <w:rPr>
          <w:rFonts w:ascii="黑体" w:eastAsia="黑体" w:hAnsi="黑体"/>
          <w:szCs w:val="32"/>
        </w:rPr>
      </w:pPr>
      <w:r>
        <w:rPr>
          <w:rFonts w:ascii="黑体" w:eastAsia="黑体" w:hAnsi="黑体" w:hint="eastAsia"/>
          <w:szCs w:val="32"/>
        </w:rPr>
        <w:t>四、机关运行经费安排情况</w:t>
      </w:r>
    </w:p>
    <w:p w:rsidR="00574B29" w:rsidRDefault="00454C62">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20年本部门机关运行经费安排13.6万元，主要用于保障机关机构正常运转及正常履职需要的</w:t>
      </w:r>
      <w:r w:rsidR="00F63249">
        <w:rPr>
          <w:rFonts w:ascii="仿宋" w:eastAsia="仿宋" w:hAnsi="仿宋" w:hint="eastAsia"/>
          <w:szCs w:val="32"/>
        </w:rPr>
        <w:t>办公费、公务接待费、公务用车运行维护费等方面</w:t>
      </w:r>
      <w:r>
        <w:rPr>
          <w:rFonts w:ascii="仿宋" w:eastAsia="仿宋" w:hAnsi="仿宋" w:hint="eastAsia"/>
          <w:szCs w:val="32"/>
        </w:rPr>
        <w:t>，比上年减少0.4万元，减少3%，主要原因是</w:t>
      </w:r>
      <w:r w:rsidR="00F63249">
        <w:rPr>
          <w:rFonts w:ascii="仿宋" w:eastAsia="仿宋" w:hAnsi="仿宋" w:hint="eastAsia"/>
          <w:szCs w:val="32"/>
        </w:rPr>
        <w:t>人员调整及压减运行</w:t>
      </w:r>
      <w:r>
        <w:rPr>
          <w:rFonts w:ascii="仿宋" w:eastAsia="仿宋" w:hAnsi="仿宋" w:hint="eastAsia"/>
          <w:szCs w:val="32"/>
        </w:rPr>
        <w:t>经费支出。</w:t>
      </w:r>
    </w:p>
    <w:p w:rsidR="00574B29" w:rsidRDefault="00454C62">
      <w:pPr>
        <w:ind w:firstLineChars="200" w:firstLine="640"/>
        <w:rPr>
          <w:rFonts w:ascii="黑体" w:eastAsia="黑体" w:hAnsi="黑体"/>
          <w:szCs w:val="32"/>
        </w:rPr>
      </w:pPr>
      <w:r>
        <w:rPr>
          <w:rFonts w:ascii="黑体" w:eastAsia="黑体" w:hAnsi="黑体" w:hint="eastAsia"/>
          <w:szCs w:val="32"/>
        </w:rPr>
        <w:t>五、“三公”经费安排情况</w:t>
      </w:r>
    </w:p>
    <w:p w:rsidR="00574B29" w:rsidRDefault="00454C62">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20年本部门“三公”经费预算7.72万元，较上年减少2.92万元，</w:t>
      </w:r>
      <w:r w:rsidR="00AD7ED8">
        <w:rPr>
          <w:rFonts w:ascii="仿宋" w:eastAsia="仿宋" w:hAnsi="仿宋" w:hint="eastAsia"/>
          <w:szCs w:val="32"/>
        </w:rPr>
        <w:t>减少27.4</w:t>
      </w:r>
      <w:r w:rsidR="003B10FC">
        <w:rPr>
          <w:rFonts w:ascii="仿宋" w:eastAsia="仿宋" w:hAnsi="仿宋" w:hint="eastAsia"/>
          <w:szCs w:val="32"/>
        </w:rPr>
        <w:t>4</w:t>
      </w:r>
      <w:r w:rsidR="00AD7ED8">
        <w:rPr>
          <w:rFonts w:ascii="仿宋" w:eastAsia="仿宋" w:hAnsi="仿宋" w:hint="eastAsia"/>
          <w:szCs w:val="32"/>
        </w:rPr>
        <w:t>%，</w:t>
      </w:r>
      <w:r>
        <w:rPr>
          <w:rFonts w:ascii="仿宋" w:eastAsia="仿宋" w:hAnsi="仿宋" w:hint="eastAsia"/>
          <w:szCs w:val="32"/>
        </w:rPr>
        <w:t>主要原因是</w:t>
      </w:r>
      <w:r w:rsidR="00F63249">
        <w:rPr>
          <w:rFonts w:ascii="仿宋" w:eastAsia="仿宋" w:hAnsi="仿宋" w:hint="eastAsia"/>
          <w:szCs w:val="32"/>
        </w:rPr>
        <w:t>深入贯彻落实厉行节约有关规定，持续压减“三公”经费支出</w:t>
      </w:r>
      <w:r>
        <w:rPr>
          <w:rFonts w:ascii="仿宋" w:eastAsia="仿宋" w:hAnsi="仿宋" w:hint="eastAsia"/>
          <w:szCs w:val="32"/>
        </w:rPr>
        <w:t>。</w:t>
      </w:r>
    </w:p>
    <w:p w:rsidR="00574B29" w:rsidRDefault="00454C62">
      <w:pPr>
        <w:ind w:firstLineChars="200" w:firstLine="640"/>
        <w:rPr>
          <w:rFonts w:ascii="仿宋" w:eastAsia="仿宋" w:hAnsi="仿宋"/>
          <w:szCs w:val="32"/>
        </w:rPr>
      </w:pPr>
      <w:r>
        <w:rPr>
          <w:rFonts w:ascii="仿宋" w:eastAsia="仿宋" w:hAnsi="仿宋" w:hint="eastAsia"/>
          <w:szCs w:val="32"/>
        </w:rPr>
        <w:t>1.因公出国（境）费0万元；</w:t>
      </w:r>
    </w:p>
    <w:p w:rsidR="00574B29" w:rsidRDefault="00454C62">
      <w:pPr>
        <w:ind w:firstLineChars="200" w:firstLine="640"/>
        <w:rPr>
          <w:rFonts w:ascii="仿宋" w:eastAsia="仿宋" w:hAnsi="仿宋"/>
          <w:szCs w:val="32"/>
        </w:rPr>
      </w:pPr>
      <w:r>
        <w:rPr>
          <w:rFonts w:ascii="仿宋" w:eastAsia="仿宋" w:hAnsi="仿宋" w:hint="eastAsia"/>
          <w:szCs w:val="32"/>
        </w:rPr>
        <w:t>2.公务用车购置及运行费4.9万元，其中：公务用车购置0万元，公务用车运行费4.9万元。</w:t>
      </w:r>
    </w:p>
    <w:p w:rsidR="00574B29" w:rsidRDefault="00454C62">
      <w:pPr>
        <w:ind w:firstLineChars="200" w:firstLine="640"/>
        <w:rPr>
          <w:rFonts w:ascii="仿宋" w:eastAsia="仿宋" w:hAnsi="仿宋"/>
          <w:szCs w:val="32"/>
        </w:rPr>
      </w:pPr>
      <w:r>
        <w:rPr>
          <w:rFonts w:ascii="仿宋" w:eastAsia="仿宋" w:hAnsi="仿宋" w:hint="eastAsia"/>
          <w:szCs w:val="32"/>
        </w:rPr>
        <w:t>3.公务接待费2.82万元。</w:t>
      </w:r>
    </w:p>
    <w:p w:rsidR="00574B29" w:rsidRDefault="00454C62">
      <w:pPr>
        <w:ind w:firstLineChars="200" w:firstLine="640"/>
        <w:rPr>
          <w:rFonts w:ascii="仿宋" w:eastAsia="仿宋" w:hAnsi="仿宋"/>
          <w:szCs w:val="32"/>
        </w:rPr>
      </w:pPr>
      <w:r>
        <w:rPr>
          <w:rFonts w:ascii="黑体" w:eastAsia="黑体" w:hAnsi="黑体" w:hint="eastAsia"/>
          <w:szCs w:val="32"/>
        </w:rPr>
        <w:t>六、政府采购安排情况</w:t>
      </w:r>
    </w:p>
    <w:p w:rsidR="00574B29" w:rsidRDefault="00454C62">
      <w:pPr>
        <w:ind w:firstLineChars="200" w:firstLine="640"/>
        <w:rPr>
          <w:rFonts w:ascii="仿宋" w:eastAsia="仿宋" w:hAnsi="仿宋"/>
          <w:szCs w:val="32"/>
        </w:rPr>
      </w:pPr>
      <w:r>
        <w:rPr>
          <w:rFonts w:ascii="仿宋" w:eastAsia="仿宋" w:hAnsi="仿宋"/>
          <w:szCs w:val="32"/>
        </w:rPr>
        <w:t>20</w:t>
      </w:r>
      <w:r w:rsidR="00F63249">
        <w:rPr>
          <w:rFonts w:ascii="仿宋" w:eastAsia="仿宋" w:hAnsi="仿宋"/>
          <w:szCs w:val="32"/>
        </w:rPr>
        <w:t>20</w:t>
      </w:r>
      <w:r>
        <w:rPr>
          <w:rFonts w:ascii="仿宋" w:eastAsia="仿宋" w:hAnsi="仿宋" w:hint="eastAsia"/>
          <w:szCs w:val="32"/>
        </w:rPr>
        <w:t>年本部门无政府采购预算安排。</w:t>
      </w:r>
    </w:p>
    <w:p w:rsidR="00574B29" w:rsidRDefault="00454C62">
      <w:pPr>
        <w:ind w:firstLineChars="200" w:firstLine="640"/>
        <w:rPr>
          <w:rFonts w:ascii="黑体" w:eastAsia="黑体" w:hAnsi="黑体"/>
          <w:szCs w:val="32"/>
        </w:rPr>
      </w:pPr>
      <w:r>
        <w:rPr>
          <w:rFonts w:ascii="黑体" w:eastAsia="黑体" w:hAnsi="黑体" w:hint="eastAsia"/>
          <w:szCs w:val="32"/>
        </w:rPr>
        <w:t>七、政府性基金预算安排情况</w:t>
      </w:r>
    </w:p>
    <w:p w:rsidR="00574B29" w:rsidRDefault="00454C62">
      <w:pPr>
        <w:ind w:firstLineChars="200" w:firstLine="640"/>
        <w:rPr>
          <w:rFonts w:ascii="仿宋" w:eastAsia="仿宋" w:hAnsi="仿宋"/>
          <w:szCs w:val="32"/>
        </w:rPr>
      </w:pPr>
      <w:r>
        <w:rPr>
          <w:rFonts w:ascii="仿宋" w:eastAsia="仿宋" w:hAnsi="仿宋" w:hint="eastAsia"/>
          <w:szCs w:val="32"/>
        </w:rPr>
        <w:t>本部门无政府性基金预算</w:t>
      </w:r>
      <w:r w:rsidR="00380AF3">
        <w:rPr>
          <w:rFonts w:ascii="仿宋" w:eastAsia="仿宋" w:hAnsi="仿宋" w:hint="eastAsia"/>
          <w:szCs w:val="32"/>
        </w:rPr>
        <w:t>收支</w:t>
      </w:r>
      <w:r>
        <w:rPr>
          <w:rFonts w:ascii="仿宋" w:eastAsia="仿宋" w:hAnsi="仿宋" w:hint="eastAsia"/>
          <w:szCs w:val="32"/>
        </w:rPr>
        <w:t>安排</w:t>
      </w:r>
      <w:r w:rsidR="00380AF3">
        <w:rPr>
          <w:rFonts w:ascii="仿宋" w:eastAsia="仿宋" w:hAnsi="仿宋" w:hint="eastAsia"/>
          <w:szCs w:val="32"/>
        </w:rPr>
        <w:t>，较上年无变动</w:t>
      </w:r>
      <w:r>
        <w:rPr>
          <w:rFonts w:ascii="仿宋" w:eastAsia="仿宋" w:hAnsi="仿宋" w:hint="eastAsia"/>
          <w:szCs w:val="32"/>
        </w:rPr>
        <w:t>。</w:t>
      </w:r>
    </w:p>
    <w:p w:rsidR="00574B29" w:rsidRDefault="00454C62">
      <w:pPr>
        <w:ind w:firstLineChars="200" w:firstLine="640"/>
        <w:rPr>
          <w:rFonts w:ascii="黑体" w:eastAsia="黑体" w:hAnsi="黑体"/>
          <w:szCs w:val="32"/>
        </w:rPr>
      </w:pPr>
      <w:r>
        <w:rPr>
          <w:rFonts w:ascii="黑体" w:eastAsia="黑体" w:hAnsi="黑体" w:hint="eastAsia"/>
          <w:szCs w:val="32"/>
        </w:rPr>
        <w:t>八、</w:t>
      </w:r>
      <w:r>
        <w:rPr>
          <w:rFonts w:ascii="黑体" w:eastAsia="黑体" w:hAnsi="黑体"/>
          <w:szCs w:val="32"/>
        </w:rPr>
        <w:t>国有资产占用情况</w:t>
      </w:r>
    </w:p>
    <w:p w:rsidR="00574B29" w:rsidRDefault="00454C62">
      <w:pPr>
        <w:ind w:firstLineChars="200" w:firstLine="640"/>
        <w:rPr>
          <w:rFonts w:ascii="仿宋" w:eastAsia="仿宋" w:hAnsi="仿宋"/>
          <w:szCs w:val="32"/>
        </w:rPr>
      </w:pPr>
      <w:r>
        <w:rPr>
          <w:rFonts w:ascii="仿宋" w:eastAsia="仿宋" w:hAnsi="仿宋"/>
          <w:szCs w:val="32"/>
        </w:rPr>
        <w:t>截止201</w:t>
      </w:r>
      <w:r>
        <w:rPr>
          <w:rFonts w:ascii="仿宋" w:eastAsia="仿宋" w:hAnsi="仿宋" w:hint="eastAsia"/>
          <w:szCs w:val="32"/>
        </w:rPr>
        <w:t>9年末，本部门共有：房屋建筑物0（平方、间）；车辆</w:t>
      </w:r>
      <w:r w:rsidR="00F63249">
        <w:rPr>
          <w:rFonts w:ascii="仿宋" w:eastAsia="仿宋" w:hAnsi="仿宋"/>
          <w:szCs w:val="32"/>
        </w:rPr>
        <w:t>3</w:t>
      </w:r>
      <w:r>
        <w:rPr>
          <w:rFonts w:ascii="仿宋" w:eastAsia="仿宋" w:hAnsi="仿宋" w:hint="eastAsia"/>
          <w:szCs w:val="32"/>
        </w:rPr>
        <w:t>辆，其中：一般公务用车1辆、一般执法执勤用车2</w:t>
      </w:r>
      <w:r>
        <w:rPr>
          <w:rFonts w:ascii="仿宋" w:eastAsia="仿宋" w:hAnsi="仿宋" w:hint="eastAsia"/>
          <w:szCs w:val="32"/>
        </w:rPr>
        <w:lastRenderedPageBreak/>
        <w:t>辆；单位价值</w:t>
      </w:r>
      <w:r>
        <w:rPr>
          <w:rFonts w:ascii="仿宋" w:eastAsia="仿宋" w:hAnsi="仿宋"/>
          <w:szCs w:val="32"/>
        </w:rPr>
        <w:t>50</w:t>
      </w:r>
      <w:r>
        <w:rPr>
          <w:rFonts w:ascii="仿宋" w:eastAsia="仿宋" w:hAnsi="仿宋" w:hint="eastAsia"/>
          <w:szCs w:val="32"/>
        </w:rPr>
        <w:t>万元以上通用设备0台（套），单位价值</w:t>
      </w:r>
      <w:r>
        <w:rPr>
          <w:rFonts w:ascii="仿宋" w:eastAsia="仿宋" w:hAnsi="仿宋"/>
          <w:szCs w:val="32"/>
        </w:rPr>
        <w:t>100</w:t>
      </w:r>
      <w:r>
        <w:rPr>
          <w:rFonts w:ascii="仿宋" w:eastAsia="仿宋" w:hAnsi="仿宋" w:hint="eastAsia"/>
          <w:szCs w:val="32"/>
        </w:rPr>
        <w:t>万元以上专用设备0台（套）。</w:t>
      </w:r>
    </w:p>
    <w:p w:rsidR="00574B29" w:rsidRDefault="00454C62">
      <w:pPr>
        <w:ind w:firstLineChars="200" w:firstLine="640"/>
        <w:rPr>
          <w:rFonts w:ascii="黑体" w:eastAsia="黑体" w:hAnsi="黑体"/>
          <w:szCs w:val="32"/>
        </w:rPr>
      </w:pPr>
      <w:r>
        <w:rPr>
          <w:rFonts w:ascii="黑体" w:eastAsia="黑体" w:hAnsi="黑体" w:hint="eastAsia"/>
          <w:szCs w:val="32"/>
        </w:rPr>
        <w:t>九、预算绩效管理工作开展情况</w:t>
      </w:r>
    </w:p>
    <w:p w:rsidR="00574B29" w:rsidRDefault="00454C62">
      <w:pPr>
        <w:ind w:firstLineChars="200" w:firstLine="640"/>
        <w:rPr>
          <w:rFonts w:ascii="仿宋" w:eastAsia="仿宋" w:hAnsi="仿宋"/>
          <w:szCs w:val="32"/>
        </w:rPr>
      </w:pPr>
      <w:r>
        <w:rPr>
          <w:rFonts w:ascii="仿宋" w:eastAsia="仿宋" w:hAnsi="仿宋" w:hint="eastAsia"/>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1个项目，10万元，并将以此为基础开展后续预算绩效管理工作，努力建立健全以结果为导向的预算绩效管理工作机制。</w:t>
      </w:r>
    </w:p>
    <w:p w:rsidR="00574B29" w:rsidRDefault="00574B29">
      <w:pPr>
        <w:ind w:firstLineChars="200" w:firstLine="640"/>
        <w:rPr>
          <w:rFonts w:ascii="黑体" w:eastAsia="黑体" w:hAnsi="黑体"/>
          <w:szCs w:val="32"/>
        </w:rPr>
      </w:pPr>
    </w:p>
    <w:p w:rsidR="00574B29" w:rsidRDefault="00574B29">
      <w:pPr>
        <w:ind w:firstLineChars="200" w:firstLine="640"/>
        <w:rPr>
          <w:rFonts w:ascii="黑体" w:eastAsia="黑体" w:hAnsi="黑体"/>
          <w:szCs w:val="32"/>
        </w:rPr>
      </w:pPr>
    </w:p>
    <w:p w:rsidR="00574B29" w:rsidRDefault="00454C62">
      <w:pPr>
        <w:pStyle w:val="a6"/>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第三部分</w:t>
      </w:r>
    </w:p>
    <w:p w:rsidR="00574B29" w:rsidRDefault="00454C62">
      <w:pPr>
        <w:pStyle w:val="a6"/>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名词解释</w:t>
      </w:r>
    </w:p>
    <w:p w:rsidR="00574B29" w:rsidRDefault="00574B29">
      <w:pPr>
        <w:ind w:firstLineChars="200" w:firstLine="640"/>
        <w:rPr>
          <w:rFonts w:ascii="仿宋" w:eastAsia="仿宋" w:hAnsi="仿宋"/>
          <w:szCs w:val="32"/>
        </w:rPr>
      </w:pPr>
    </w:p>
    <w:p w:rsidR="00574B29" w:rsidRDefault="00454C62">
      <w:pPr>
        <w:ind w:firstLine="640"/>
        <w:rPr>
          <w:rFonts w:ascii="黑体" w:eastAsia="黑体" w:hAnsi="黑体"/>
          <w:szCs w:val="32"/>
        </w:rPr>
      </w:pPr>
      <w:r>
        <w:rPr>
          <w:rFonts w:ascii="黑体" w:eastAsia="黑体" w:hAnsi="黑体" w:hint="eastAsia"/>
          <w:szCs w:val="32"/>
        </w:rPr>
        <w:t>一、财政拨款收入</w:t>
      </w:r>
    </w:p>
    <w:p w:rsidR="00574B29" w:rsidRDefault="00454C62">
      <w:pPr>
        <w:ind w:firstLine="640"/>
        <w:rPr>
          <w:rFonts w:ascii="仿宋" w:eastAsia="仿宋" w:hAnsi="仿宋"/>
          <w:szCs w:val="32"/>
        </w:rPr>
      </w:pPr>
      <w:r>
        <w:rPr>
          <w:rFonts w:ascii="仿宋" w:eastAsia="仿宋" w:hAnsi="仿宋" w:hint="eastAsia"/>
          <w:szCs w:val="32"/>
        </w:rPr>
        <w:t>指本级财政当年拨付的资金。</w:t>
      </w:r>
    </w:p>
    <w:p w:rsidR="00574B29" w:rsidRDefault="00454C62">
      <w:pPr>
        <w:ind w:firstLine="640"/>
        <w:rPr>
          <w:rFonts w:ascii="黑体" w:eastAsia="黑体" w:hAnsi="黑体"/>
          <w:szCs w:val="32"/>
        </w:rPr>
      </w:pPr>
      <w:r>
        <w:rPr>
          <w:rFonts w:ascii="黑体" w:eastAsia="黑体" w:hAnsi="黑体" w:hint="eastAsia"/>
          <w:szCs w:val="32"/>
        </w:rPr>
        <w:t>二、事业收入</w:t>
      </w:r>
    </w:p>
    <w:p w:rsidR="00574B29" w:rsidRDefault="00454C62">
      <w:pPr>
        <w:ind w:firstLineChars="200" w:firstLine="640"/>
        <w:rPr>
          <w:rFonts w:ascii="仿宋" w:eastAsia="仿宋" w:hAnsi="仿宋"/>
          <w:szCs w:val="32"/>
        </w:rPr>
      </w:pPr>
      <w:r>
        <w:rPr>
          <w:rFonts w:ascii="仿宋" w:eastAsia="仿宋" w:hAnsi="仿宋" w:hint="eastAsia"/>
          <w:szCs w:val="32"/>
        </w:rPr>
        <w:t>指事业单位开展专务活动及辅助所取得的收入。</w:t>
      </w:r>
    </w:p>
    <w:p w:rsidR="00574B29" w:rsidRDefault="00454C62">
      <w:pPr>
        <w:ind w:firstLine="640"/>
        <w:rPr>
          <w:rFonts w:ascii="黑体" w:eastAsia="黑体" w:hAnsi="黑体"/>
          <w:szCs w:val="32"/>
        </w:rPr>
      </w:pPr>
      <w:r>
        <w:rPr>
          <w:rFonts w:ascii="黑体" w:eastAsia="黑体" w:hAnsi="黑体" w:hint="eastAsia"/>
          <w:szCs w:val="32"/>
        </w:rPr>
        <w:t>三、其他收入</w:t>
      </w:r>
    </w:p>
    <w:p w:rsidR="00574B29" w:rsidRDefault="00454C62">
      <w:pPr>
        <w:ind w:firstLineChars="200" w:firstLine="640"/>
        <w:rPr>
          <w:rFonts w:ascii="仿宋" w:eastAsia="仿宋" w:hAnsi="仿宋"/>
          <w:szCs w:val="32"/>
        </w:rPr>
      </w:pPr>
      <w:r>
        <w:rPr>
          <w:rFonts w:ascii="仿宋" w:eastAsia="仿宋" w:hAnsi="仿宋" w:hint="eastAsia"/>
          <w:szCs w:val="32"/>
        </w:rPr>
        <w:t>指除“财政拨款”、“事业收入”、“事业单位经营收入”、</w:t>
      </w:r>
      <w:r>
        <w:rPr>
          <w:rFonts w:ascii="仿宋" w:eastAsia="仿宋" w:hAnsi="仿宋" w:hint="eastAsia"/>
          <w:szCs w:val="32"/>
        </w:rPr>
        <w:lastRenderedPageBreak/>
        <w:t>“附属单位上缴收入”等以外的收入。</w:t>
      </w:r>
    </w:p>
    <w:p w:rsidR="00574B29" w:rsidRDefault="00454C62">
      <w:pPr>
        <w:ind w:firstLine="640"/>
        <w:rPr>
          <w:rFonts w:ascii="黑体" w:eastAsia="黑体" w:hAnsi="黑体"/>
          <w:szCs w:val="32"/>
        </w:rPr>
      </w:pPr>
      <w:r>
        <w:rPr>
          <w:rFonts w:ascii="黑体" w:eastAsia="黑体" w:hAnsi="黑体" w:hint="eastAsia"/>
          <w:szCs w:val="32"/>
        </w:rPr>
        <w:t>四、基本支出</w:t>
      </w:r>
    </w:p>
    <w:p w:rsidR="00574B29" w:rsidRDefault="00454C62">
      <w:pPr>
        <w:ind w:firstLineChars="200" w:firstLine="640"/>
        <w:rPr>
          <w:rFonts w:ascii="仿宋" w:eastAsia="仿宋" w:hAnsi="仿宋"/>
          <w:szCs w:val="32"/>
        </w:rPr>
      </w:pPr>
      <w:r>
        <w:rPr>
          <w:rFonts w:ascii="仿宋" w:eastAsia="仿宋" w:hAnsi="仿宋" w:hint="eastAsia"/>
          <w:szCs w:val="32"/>
        </w:rPr>
        <w:t>指为保障机构正常运转、完成日常工作任务所必需的开支，其内容包括人员经费和日常公用经费两部分。</w:t>
      </w:r>
    </w:p>
    <w:p w:rsidR="00574B29" w:rsidRDefault="00454C62">
      <w:pPr>
        <w:ind w:firstLine="640"/>
        <w:rPr>
          <w:rFonts w:ascii="黑体" w:eastAsia="黑体" w:hAnsi="黑体"/>
          <w:szCs w:val="32"/>
        </w:rPr>
      </w:pPr>
      <w:r>
        <w:rPr>
          <w:rFonts w:ascii="黑体" w:eastAsia="黑体" w:hAnsi="黑体" w:hint="eastAsia"/>
          <w:szCs w:val="32"/>
        </w:rPr>
        <w:t>五、项目支出</w:t>
      </w:r>
    </w:p>
    <w:p w:rsidR="00574B29" w:rsidRDefault="00454C62">
      <w:pPr>
        <w:ind w:firstLineChars="200" w:firstLine="640"/>
        <w:rPr>
          <w:rFonts w:ascii="仿宋" w:eastAsia="仿宋" w:hAnsi="仿宋"/>
          <w:szCs w:val="32"/>
        </w:rPr>
      </w:pPr>
      <w:r>
        <w:rPr>
          <w:rFonts w:ascii="仿宋" w:eastAsia="仿宋" w:hAnsi="仿宋" w:hint="eastAsia"/>
          <w:szCs w:val="32"/>
        </w:rPr>
        <w:t>指在基本支出之外，为完成特定的行政工作任务或事业发展目标所发生的支出。</w:t>
      </w:r>
    </w:p>
    <w:p w:rsidR="00574B29" w:rsidRDefault="00454C62">
      <w:pPr>
        <w:ind w:firstLine="640"/>
        <w:rPr>
          <w:rFonts w:ascii="黑体" w:eastAsia="黑体" w:hAnsi="黑体"/>
          <w:szCs w:val="32"/>
        </w:rPr>
      </w:pPr>
      <w:r>
        <w:rPr>
          <w:rFonts w:ascii="黑体" w:eastAsia="黑体" w:hAnsi="黑体" w:hint="eastAsia"/>
          <w:szCs w:val="32"/>
        </w:rPr>
        <w:t>六、机关运行经费</w:t>
      </w:r>
    </w:p>
    <w:p w:rsidR="00574B29" w:rsidRDefault="00454C62">
      <w:pPr>
        <w:ind w:firstLineChars="200" w:firstLine="640"/>
        <w:rPr>
          <w:rFonts w:ascii="仿宋" w:eastAsia="仿宋" w:hAnsi="仿宋"/>
          <w:szCs w:val="32"/>
        </w:rPr>
      </w:pPr>
      <w:r>
        <w:rPr>
          <w:rFonts w:ascii="仿宋" w:eastAsia="仿宋" w:hAnsi="仿宋" w:hint="eastAsia"/>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rsidR="00574B29" w:rsidRDefault="00454C62">
      <w:pPr>
        <w:ind w:firstLine="640"/>
        <w:rPr>
          <w:rFonts w:ascii="黑体" w:eastAsia="黑体" w:hAnsi="黑体"/>
          <w:szCs w:val="32"/>
        </w:rPr>
      </w:pPr>
      <w:r>
        <w:rPr>
          <w:rFonts w:ascii="黑体" w:eastAsia="黑体" w:hAnsi="黑体" w:hint="eastAsia"/>
          <w:szCs w:val="32"/>
        </w:rPr>
        <w:t>七、“三公”经费</w:t>
      </w:r>
    </w:p>
    <w:p w:rsidR="00574B29" w:rsidRDefault="00454C62">
      <w:pPr>
        <w:ind w:firstLineChars="200" w:firstLine="640"/>
        <w:rPr>
          <w:rFonts w:ascii="仿宋" w:eastAsia="仿宋" w:hAnsi="仿宋"/>
          <w:szCs w:val="32"/>
        </w:rPr>
      </w:pPr>
      <w:r>
        <w:rPr>
          <w:rFonts w:ascii="仿宋" w:eastAsia="仿宋" w:hAnsi="仿宋" w:hint="eastAsia"/>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sectPr w:rsidR="00574B29" w:rsidSect="0040591F">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A33" w:rsidRDefault="000E6A33">
      <w:r>
        <w:separator/>
      </w:r>
    </w:p>
  </w:endnote>
  <w:endnote w:type="continuationSeparator" w:id="1">
    <w:p w:rsidR="000E6A33" w:rsidRDefault="000E6A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charset w:val="86"/>
    <w:family w:val="script"/>
    <w:pitch w:val="fixed"/>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B29" w:rsidRDefault="00854F0F">
    <w:pPr>
      <w:pStyle w:val="a4"/>
    </w:pPr>
    <w:r>
      <w:rPr>
        <w:noProof/>
      </w:rPr>
      <w:pict>
        <v:shapetype id="_x0000_t202" coordsize="21600,21600" o:spt="202" path="m,l,21600r21600,l21600,xe">
          <v:stroke joinstyle="miter"/>
          <v:path gradientshapeok="t" o:connecttype="rect"/>
        </v:shapetype>
        <v:shape id="文本框 1" o:spid="_x0000_s4097" type="#_x0000_t202" style="position:absolute;margin-left:0;margin-top:0;width:2in;height:2in;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74B29" w:rsidRDefault="00854F0F">
                <w:pPr>
                  <w:pStyle w:val="a4"/>
                  <w:rPr>
                    <w:sz w:val="21"/>
                    <w:szCs w:val="21"/>
                  </w:rPr>
                </w:pPr>
                <w:r>
                  <w:rPr>
                    <w:rFonts w:hint="eastAsia"/>
                    <w:sz w:val="21"/>
                    <w:szCs w:val="21"/>
                  </w:rPr>
                  <w:fldChar w:fldCharType="begin"/>
                </w:r>
                <w:r w:rsidR="00454C62">
                  <w:rPr>
                    <w:rFonts w:hint="eastAsia"/>
                    <w:sz w:val="21"/>
                    <w:szCs w:val="21"/>
                  </w:rPr>
                  <w:instrText xml:space="preserve"> PAGE  \* MERGEFORMAT </w:instrText>
                </w:r>
                <w:r>
                  <w:rPr>
                    <w:rFonts w:hint="eastAsia"/>
                    <w:sz w:val="21"/>
                    <w:szCs w:val="21"/>
                  </w:rPr>
                  <w:fldChar w:fldCharType="separate"/>
                </w:r>
                <w:r w:rsidR="003B10FC">
                  <w:rPr>
                    <w:noProof/>
                    <w:sz w:val="21"/>
                    <w:szCs w:val="21"/>
                  </w:rPr>
                  <w:t>- 8 -</w:t>
                </w:r>
                <w:r>
                  <w:rPr>
                    <w:rFonts w:hint="eastAsia"/>
                    <w:sz w:val="21"/>
                    <w:szCs w:val="21"/>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A33" w:rsidRDefault="000E6A33">
      <w:r>
        <w:separator/>
      </w:r>
    </w:p>
  </w:footnote>
  <w:footnote w:type="continuationSeparator" w:id="1">
    <w:p w:rsidR="000E6A33" w:rsidRDefault="000E6A3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5FAC"/>
    <w:rsid w:val="000B392C"/>
    <w:rsid w:val="000E6A33"/>
    <w:rsid w:val="00125FAC"/>
    <w:rsid w:val="00127F6F"/>
    <w:rsid w:val="00162A29"/>
    <w:rsid w:val="001852DE"/>
    <w:rsid w:val="001965F5"/>
    <w:rsid w:val="00196E05"/>
    <w:rsid w:val="001B31A3"/>
    <w:rsid w:val="00207623"/>
    <w:rsid w:val="0024750C"/>
    <w:rsid w:val="002A397A"/>
    <w:rsid w:val="00334DFB"/>
    <w:rsid w:val="00377211"/>
    <w:rsid w:val="00380AF3"/>
    <w:rsid w:val="003838FD"/>
    <w:rsid w:val="003B10FC"/>
    <w:rsid w:val="003C0C15"/>
    <w:rsid w:val="0040591F"/>
    <w:rsid w:val="00454C62"/>
    <w:rsid w:val="004A3479"/>
    <w:rsid w:val="004E79D5"/>
    <w:rsid w:val="0051511D"/>
    <w:rsid w:val="00574B29"/>
    <w:rsid w:val="00583109"/>
    <w:rsid w:val="005C4BFD"/>
    <w:rsid w:val="005E427E"/>
    <w:rsid w:val="0060448E"/>
    <w:rsid w:val="00612ECF"/>
    <w:rsid w:val="00642756"/>
    <w:rsid w:val="006E16BE"/>
    <w:rsid w:val="007567EA"/>
    <w:rsid w:val="007C5FD2"/>
    <w:rsid w:val="00845860"/>
    <w:rsid w:val="00854F0F"/>
    <w:rsid w:val="008A08E8"/>
    <w:rsid w:val="008A2F34"/>
    <w:rsid w:val="008D7DD2"/>
    <w:rsid w:val="008E57A8"/>
    <w:rsid w:val="00925F66"/>
    <w:rsid w:val="00975602"/>
    <w:rsid w:val="00976444"/>
    <w:rsid w:val="009A1FE2"/>
    <w:rsid w:val="00A02B5D"/>
    <w:rsid w:val="00AD7ED8"/>
    <w:rsid w:val="00B62460"/>
    <w:rsid w:val="00BC0D2F"/>
    <w:rsid w:val="00C11FE3"/>
    <w:rsid w:val="00C15DCD"/>
    <w:rsid w:val="00C56A03"/>
    <w:rsid w:val="00D56ECE"/>
    <w:rsid w:val="00DA4FD4"/>
    <w:rsid w:val="00DF06AF"/>
    <w:rsid w:val="00E56EAF"/>
    <w:rsid w:val="00E72D14"/>
    <w:rsid w:val="00F34146"/>
    <w:rsid w:val="00F63249"/>
    <w:rsid w:val="00F97444"/>
    <w:rsid w:val="00FC2311"/>
    <w:rsid w:val="00FD4637"/>
    <w:rsid w:val="00FE26A6"/>
    <w:rsid w:val="13FA181B"/>
    <w:rsid w:val="158870BB"/>
    <w:rsid w:val="25CF2C99"/>
    <w:rsid w:val="26352560"/>
    <w:rsid w:val="2B1B244D"/>
    <w:rsid w:val="38C057DB"/>
    <w:rsid w:val="40B24801"/>
    <w:rsid w:val="46B324CE"/>
    <w:rsid w:val="521F6373"/>
    <w:rsid w:val="537D4091"/>
    <w:rsid w:val="5F5F5A56"/>
    <w:rsid w:val="60E553D7"/>
    <w:rsid w:val="65CA5D25"/>
    <w:rsid w:val="6D0C5C40"/>
    <w:rsid w:val="75906ED1"/>
    <w:rsid w:val="7B3B77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91F"/>
    <w:pPr>
      <w:widowControl w:val="0"/>
      <w:jc w:val="both"/>
    </w:pPr>
    <w:rPr>
      <w:rFonts w:ascii="仿宋_GB2312" w:eastAsia="仿宋_GB2312" w:hAnsiTheme="minorHAnsi" w:cstheme="minorBidi"/>
      <w:kern w:val="2"/>
      <w:sz w:val="32"/>
      <w:szCs w:val="22"/>
    </w:rPr>
  </w:style>
  <w:style w:type="paragraph" w:styleId="1">
    <w:name w:val="heading 1"/>
    <w:basedOn w:val="a"/>
    <w:next w:val="a"/>
    <w:link w:val="1Char"/>
    <w:uiPriority w:val="9"/>
    <w:qFormat/>
    <w:rsid w:val="0040591F"/>
    <w:pPr>
      <w:jc w:val="center"/>
      <w:outlineLvl w:val="0"/>
    </w:pPr>
    <w:rPr>
      <w:rFonts w:ascii="方正小标宋_GBK" w:eastAsia="方正小标宋_GBK"/>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0591F"/>
    <w:rPr>
      <w:sz w:val="18"/>
      <w:szCs w:val="18"/>
    </w:rPr>
  </w:style>
  <w:style w:type="paragraph" w:styleId="a4">
    <w:name w:val="footer"/>
    <w:basedOn w:val="a"/>
    <w:link w:val="Char0"/>
    <w:uiPriority w:val="99"/>
    <w:unhideWhenUsed/>
    <w:qFormat/>
    <w:rsid w:val="0040591F"/>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40591F"/>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40591F"/>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qFormat/>
    <w:rsid w:val="0040591F"/>
    <w:rPr>
      <w:rFonts w:ascii="方正小标宋_GBK" w:eastAsia="方正小标宋_GBK"/>
      <w:sz w:val="44"/>
    </w:rPr>
  </w:style>
  <w:style w:type="character" w:customStyle="1" w:styleId="Char1">
    <w:name w:val="页眉 Char"/>
    <w:basedOn w:val="a0"/>
    <w:link w:val="a5"/>
    <w:uiPriority w:val="99"/>
    <w:qFormat/>
    <w:rsid w:val="0040591F"/>
    <w:rPr>
      <w:rFonts w:ascii="仿宋_GB2312" w:eastAsia="仿宋_GB2312"/>
      <w:sz w:val="18"/>
      <w:szCs w:val="18"/>
    </w:rPr>
  </w:style>
  <w:style w:type="character" w:customStyle="1" w:styleId="Char0">
    <w:name w:val="页脚 Char"/>
    <w:basedOn w:val="a0"/>
    <w:link w:val="a4"/>
    <w:uiPriority w:val="99"/>
    <w:qFormat/>
    <w:rsid w:val="0040591F"/>
    <w:rPr>
      <w:rFonts w:ascii="仿宋_GB2312" w:eastAsia="仿宋_GB2312"/>
      <w:sz w:val="18"/>
      <w:szCs w:val="18"/>
    </w:rPr>
  </w:style>
  <w:style w:type="paragraph" w:styleId="a7">
    <w:name w:val="List Paragraph"/>
    <w:basedOn w:val="a"/>
    <w:uiPriority w:val="34"/>
    <w:qFormat/>
    <w:rsid w:val="0040591F"/>
    <w:pPr>
      <w:ind w:firstLineChars="200" w:firstLine="420"/>
    </w:pPr>
  </w:style>
  <w:style w:type="character" w:customStyle="1" w:styleId="Char">
    <w:name w:val="批注框文本 Char"/>
    <w:basedOn w:val="a0"/>
    <w:link w:val="a3"/>
    <w:uiPriority w:val="99"/>
    <w:semiHidden/>
    <w:qFormat/>
    <w:rsid w:val="0040591F"/>
    <w:rPr>
      <w:rFonts w:ascii="仿宋_GB2312" w:eastAsia="仿宋_GB231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540</Words>
  <Characters>3082</Characters>
  <Application>Microsoft Office Word</Application>
  <DocSecurity>0</DocSecurity>
  <Lines>25</Lines>
  <Paragraphs>7</Paragraphs>
  <ScaleCrop>false</ScaleCrop>
  <Company/>
  <LinksUpToDate>false</LinksUpToDate>
  <CharactersWithSpaces>3615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ys-pc</dc:creator>
  <cp:lastModifiedBy>PC</cp:lastModifiedBy>
  <cp:revision>34</cp:revision>
  <cp:lastPrinted>2020-03-03T07:59:00Z</cp:lastPrinted>
  <dcterms:created xsi:type="dcterms:W3CDTF">2020-03-03T01:56:00Z</dcterms:created>
  <dcterms:modified xsi:type="dcterms:W3CDTF">2020-12-14T08:16:00Z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