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ascii="方正小标宋_GBK" w:eastAsia="方正小标宋_GBK"/>
          <w:sz w:val="40"/>
        </w:rPr>
      </w:pPr>
    </w:p>
    <w:p>
      <w:pPr>
        <w:jc w:val="center"/>
        <w:rPr>
          <w:rFonts w:ascii="方正小标宋简体" w:hAnsi="方正小标宋简体" w:eastAsia="方正小标宋简体" w:cs="方正小标宋简体"/>
          <w:w w:val="85"/>
          <w:sz w:val="56"/>
        </w:rPr>
      </w:pPr>
      <w:r>
        <w:rPr>
          <w:rFonts w:hint="eastAsia" w:ascii="方正小标宋简体" w:hAnsi="方正小标宋简体" w:eastAsia="方正小标宋简体" w:cs="方正小标宋简体"/>
          <w:w w:val="85"/>
          <w:sz w:val="56"/>
        </w:rPr>
        <w:t>濮阳市华龙区医疗保障局</w:t>
      </w:r>
    </w:p>
    <w:p>
      <w:pPr>
        <w:jc w:val="center"/>
        <w:rPr>
          <w:rFonts w:ascii="方正小标宋简体" w:hAnsi="方正小标宋简体" w:eastAsia="方正小标宋简体" w:cs="方正小标宋简体"/>
          <w:spacing w:val="-20"/>
          <w:sz w:val="44"/>
        </w:rPr>
      </w:pPr>
      <w:r>
        <w:rPr>
          <w:rFonts w:hint="eastAsia" w:ascii="方正小标宋简体" w:hAnsi="方正小标宋简体" w:eastAsia="方正小标宋简体" w:cs="方正小标宋简体"/>
          <w:w w:val="85"/>
          <w:sz w:val="56"/>
        </w:rPr>
        <w:t>2020年部门预算公开说明</w:t>
      </w:r>
    </w:p>
    <w:p>
      <w:pP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hint="eastAsia"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楷体_GB2312" w:eastAsia="楷体_GB2312"/>
          <w:b/>
          <w:w w:val="90"/>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年六月</w:t>
      </w:r>
    </w:p>
    <w:p>
      <w:pPr>
        <w:widowControl/>
        <w:jc w:val="left"/>
        <w:rPr>
          <w:rFonts w:ascii="黑体" w:hAnsi="黑体" w:eastAsia="黑体" w:cs="宋体"/>
          <w:color w:val="000000"/>
          <w:kern w:val="0"/>
          <w:sz w:val="44"/>
          <w:szCs w:val="32"/>
        </w:rPr>
      </w:pPr>
      <w:r>
        <w:rPr>
          <w:rFonts w:ascii="黑体" w:hAnsi="黑体" w:eastAsia="黑体"/>
          <w:color w:val="000000"/>
          <w:sz w:val="44"/>
          <w:szCs w:val="32"/>
        </w:rPr>
        <w:br w:type="page"/>
      </w:r>
    </w:p>
    <w:p>
      <w:pPr>
        <w:pStyle w:val="6"/>
        <w:topLinePunct/>
        <w:spacing w:before="0" w:beforeAutospacing="0" w:after="0" w:afterAutospacing="0" w:line="360" w:lineRule="auto"/>
        <w:ind w:firstLine="880"/>
        <w:jc w:val="center"/>
        <w:rPr>
          <w:rFonts w:ascii="黑体" w:hAnsi="黑体" w:eastAsia="黑体"/>
          <w:color w:val="000000"/>
          <w:sz w:val="44"/>
          <w:szCs w:val="32"/>
        </w:rPr>
      </w:pPr>
    </w:p>
    <w:p>
      <w:pPr>
        <w:pStyle w:val="6"/>
        <w:topLinePunct/>
        <w:spacing w:before="0" w:beforeAutospacing="0" w:after="0" w:afterAutospacing="0" w:line="360" w:lineRule="auto"/>
        <w:jc w:val="center"/>
        <w:rPr>
          <w:rFonts w:ascii="黑体" w:hAnsi="黑体" w:eastAsia="黑体"/>
          <w:color w:val="000000"/>
          <w:sz w:val="44"/>
          <w:szCs w:val="32"/>
        </w:rPr>
      </w:pPr>
      <w:r>
        <w:rPr>
          <w:rFonts w:hint="eastAsia" w:ascii="黑体" w:hAnsi="黑体" w:eastAsia="黑体"/>
          <w:color w:val="000000"/>
          <w:sz w:val="44"/>
          <w:szCs w:val="32"/>
        </w:rPr>
        <w:t>目 录</w:t>
      </w:r>
    </w:p>
    <w:p>
      <w:pPr>
        <w:pStyle w:val="6"/>
        <w:topLinePunct/>
        <w:spacing w:before="0" w:beforeAutospacing="0" w:after="0" w:afterAutospacing="0" w:line="360" w:lineRule="auto"/>
        <w:ind w:firstLine="720"/>
        <w:jc w:val="center"/>
        <w:rPr>
          <w:rFonts w:ascii="黑体" w:hAnsi="黑体" w:eastAsia="黑体"/>
          <w:color w:val="000000"/>
          <w:sz w:val="36"/>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一、部门主要职责</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2020年部门预算情况说明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附件：</w:t>
      </w:r>
      <w:r>
        <w:rPr>
          <w:rFonts w:hint="eastAsia" w:ascii="黑体" w:hAnsi="黑体" w:eastAsia="黑体"/>
          <w:sz w:val="32"/>
          <w:szCs w:val="32"/>
        </w:rPr>
        <w:t>濮阳市华龙区医疗保障局</w:t>
      </w:r>
      <w:r>
        <w:rPr>
          <w:rFonts w:hint="eastAsia" w:ascii="黑体" w:hAnsi="黑体" w:eastAsia="黑体"/>
          <w:color w:val="000000"/>
          <w:sz w:val="32"/>
          <w:szCs w:val="32"/>
        </w:rPr>
        <w:t>2020年部门预算表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二、部门收入总表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三、部门支出总表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四、财政拨款收支总表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五、一般公共预算支出表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六、一般公共预算基本支出表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七、一般公共预算“三公”经费支出表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Cs w:val="32"/>
        </w:rPr>
      </w:pPr>
    </w:p>
    <w:p>
      <w:pPr>
        <w:rPr>
          <w:rFonts w:ascii="黑体" w:hAnsi="黑体" w:eastAsia="黑体"/>
          <w:szCs w:val="32"/>
        </w:rPr>
      </w:pPr>
      <w:r>
        <w:rPr>
          <w:rFonts w:ascii="黑体" w:hAnsi="黑体" w:eastAsia="黑体"/>
          <w:szCs w:val="32"/>
        </w:rPr>
        <w:br w:type="page"/>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Cs w:val="32"/>
        </w:rPr>
      </w:pPr>
      <w:r>
        <w:rPr>
          <w:rFonts w:ascii="黑体" w:hAnsi="黑体" w:eastAsia="黑体"/>
          <w:szCs w:val="32"/>
        </w:rPr>
        <w:t> </w:t>
      </w:r>
    </w:p>
    <w:p>
      <w:pPr>
        <w:numPr>
          <w:ilvl w:val="0"/>
          <w:numId w:val="1"/>
        </w:numPr>
        <w:ind w:firstLine="640" w:firstLineChars="200"/>
        <w:rPr>
          <w:rFonts w:ascii="黑体" w:hAnsi="黑体" w:eastAsia="黑体"/>
          <w:szCs w:val="32"/>
        </w:rPr>
      </w:pPr>
      <w:r>
        <w:rPr>
          <w:rFonts w:hint="eastAsia" w:ascii="黑体" w:hAnsi="黑体" w:eastAsia="黑体"/>
          <w:szCs w:val="32"/>
        </w:rPr>
        <w:t>部门主要职责</w:t>
      </w:r>
    </w:p>
    <w:p>
      <w:pPr>
        <w:numPr>
          <w:ilvl w:val="0"/>
          <w:numId w:val="2"/>
        </w:numPr>
        <w:ind w:firstLine="640" w:firstLineChars="200"/>
        <w:rPr>
          <w:rFonts w:ascii="仿宋" w:hAnsi="仿宋" w:eastAsia="仿宋" w:cs="仿宋"/>
          <w:szCs w:val="32"/>
        </w:rPr>
      </w:pPr>
      <w:r>
        <w:rPr>
          <w:rFonts w:hint="eastAsia" w:ascii="仿宋" w:hAnsi="仿宋" w:eastAsia="仿宋" w:cs="仿宋"/>
          <w:szCs w:val="32"/>
        </w:rPr>
        <w:t>依据相关政策组织实施医疗保险、生育保险、离休人员医疗保障、移交政府安置的军队离退休干部医疗保障、医疗救助等医疗保障制度、规划、标准。</w:t>
      </w:r>
    </w:p>
    <w:p>
      <w:pPr>
        <w:numPr>
          <w:ilvl w:val="0"/>
          <w:numId w:val="2"/>
        </w:numPr>
        <w:ind w:firstLine="640" w:firstLineChars="200"/>
        <w:rPr>
          <w:rFonts w:ascii="仿宋" w:hAnsi="仿宋" w:eastAsia="仿宋" w:cs="仿宋"/>
          <w:szCs w:val="32"/>
        </w:rPr>
      </w:pPr>
      <w:r>
        <w:rPr>
          <w:rFonts w:hint="eastAsia" w:ascii="仿宋" w:hAnsi="仿宋" w:eastAsia="仿宋" w:cs="仿宋"/>
          <w:szCs w:val="32"/>
        </w:rPr>
        <w:t>拟定全区医疗保障基金监督管理办法并组织实施，建立健全医疗保障基金安全防控机制，推进医疗保障基金支付方式改革。</w:t>
      </w:r>
    </w:p>
    <w:p>
      <w:pPr>
        <w:numPr>
          <w:ilvl w:val="0"/>
          <w:numId w:val="2"/>
        </w:numPr>
        <w:ind w:firstLine="640" w:firstLineChars="200"/>
        <w:rPr>
          <w:rFonts w:ascii="仿宋" w:hAnsi="仿宋" w:eastAsia="仿宋" w:cs="仿宋"/>
          <w:szCs w:val="32"/>
        </w:rPr>
      </w:pPr>
      <w:r>
        <w:rPr>
          <w:rFonts w:hint="eastAsia" w:ascii="仿宋" w:hAnsi="仿宋" w:eastAsia="仿宋" w:cs="仿宋"/>
          <w:szCs w:val="32"/>
        </w:rPr>
        <w:t>组织拟定全区医疗保障筹资和待遇实施意见，完善动态调整和区域调剂平衡机制，建立健全与筹资水平相适应的待遇调整机制，统筹横向医疗保障待遇标准。推进长期护理保险制度改革。</w:t>
      </w:r>
    </w:p>
    <w:p>
      <w:pPr>
        <w:numPr>
          <w:ilvl w:val="0"/>
          <w:numId w:val="2"/>
        </w:numPr>
        <w:ind w:firstLine="640" w:firstLineChars="200"/>
        <w:rPr>
          <w:rFonts w:ascii="仿宋" w:hAnsi="仿宋" w:eastAsia="仿宋" w:cs="仿宋"/>
          <w:szCs w:val="32"/>
        </w:rPr>
      </w:pPr>
      <w:r>
        <w:rPr>
          <w:rFonts w:hint="eastAsia" w:ascii="仿宋" w:hAnsi="仿宋" w:eastAsia="仿宋" w:cs="仿宋"/>
          <w:szCs w:val="32"/>
        </w:rPr>
        <w:t>监督指导全区药品、医用耗材价格、医疗服务项目和医疗服务设施收费等政策，建立医保支付医药服务价格动态调整机制，推动建立市场主导的社会医药服务价格形成机制，建立价格信息监测和信息发布制度。</w:t>
      </w:r>
    </w:p>
    <w:p>
      <w:pPr>
        <w:numPr>
          <w:ilvl w:val="0"/>
          <w:numId w:val="2"/>
        </w:numPr>
        <w:ind w:firstLine="640" w:firstLineChars="200"/>
        <w:rPr>
          <w:rFonts w:ascii="仿宋" w:hAnsi="仿宋" w:eastAsia="仿宋" w:cs="仿宋"/>
          <w:szCs w:val="32"/>
        </w:rPr>
      </w:pPr>
      <w:r>
        <w:rPr>
          <w:rFonts w:hint="eastAsia" w:ascii="仿宋" w:hAnsi="仿宋" w:eastAsia="仿宋" w:cs="仿宋"/>
          <w:szCs w:val="32"/>
        </w:rPr>
        <w:t>监督实施全区药品、医用耗材的招标采购政策，指导药品、医用耗材招标采购平台建设。</w:t>
      </w:r>
    </w:p>
    <w:p>
      <w:pPr>
        <w:numPr>
          <w:ilvl w:val="0"/>
          <w:numId w:val="2"/>
        </w:numPr>
        <w:ind w:firstLine="640" w:firstLineChars="200"/>
        <w:rPr>
          <w:rFonts w:ascii="仿宋" w:hAnsi="仿宋" w:eastAsia="仿宋" w:cs="仿宋"/>
          <w:szCs w:val="32"/>
        </w:rPr>
      </w:pPr>
      <w:r>
        <w:rPr>
          <w:rFonts w:hint="eastAsia" w:ascii="仿宋" w:hAnsi="仿宋" w:eastAsia="仿宋" w:cs="仿宋"/>
          <w:szCs w:val="32"/>
        </w:rPr>
        <w:t>拟定全区定点医疗机构协议和支付管理办法并组织实施，建立健全医疗保障信用评价体系和信息披露制度，监督管理纳入医保范围内的医疗服务行为和医疗费用，依法查处医疗保障领域违规行为。</w:t>
      </w:r>
    </w:p>
    <w:p>
      <w:pPr>
        <w:numPr>
          <w:ilvl w:val="0"/>
          <w:numId w:val="2"/>
        </w:numPr>
        <w:ind w:firstLine="640" w:firstLineChars="200"/>
        <w:rPr>
          <w:rFonts w:ascii="仿宋" w:hAnsi="仿宋" w:eastAsia="仿宋" w:cs="仿宋"/>
          <w:szCs w:val="32"/>
        </w:rPr>
      </w:pPr>
      <w:r>
        <w:rPr>
          <w:rFonts w:hint="eastAsia" w:ascii="仿宋" w:hAnsi="仿宋" w:eastAsia="仿宋" w:cs="仿宋"/>
          <w:szCs w:val="32"/>
        </w:rPr>
        <w:t>负责全区医疗保障经办管理、公共服务体系和信息化建设。贯彻落实完善异地就医管理和费用结算政策。建立健全医疗保障关系转移续接制度。</w:t>
      </w:r>
    </w:p>
    <w:p>
      <w:pPr>
        <w:numPr>
          <w:ilvl w:val="0"/>
          <w:numId w:val="2"/>
        </w:numPr>
        <w:ind w:firstLine="640" w:firstLineChars="200"/>
        <w:rPr>
          <w:rFonts w:ascii="仿宋" w:hAnsi="仿宋" w:eastAsia="仿宋" w:cs="仿宋"/>
          <w:szCs w:val="32"/>
        </w:rPr>
      </w:pPr>
      <w:r>
        <w:rPr>
          <w:rFonts w:hint="eastAsia" w:ascii="仿宋" w:hAnsi="仿宋" w:eastAsia="仿宋" w:cs="仿宋"/>
          <w:szCs w:val="32"/>
        </w:rPr>
        <w:t>落实全区相关医疗保障对象体检政策并组织实施。</w:t>
      </w:r>
    </w:p>
    <w:p>
      <w:pPr>
        <w:numPr>
          <w:ilvl w:val="0"/>
          <w:numId w:val="2"/>
        </w:numPr>
        <w:ind w:firstLine="640" w:firstLineChars="200"/>
        <w:rPr>
          <w:rFonts w:ascii="仿宋" w:hAnsi="仿宋" w:eastAsia="仿宋" w:cs="仿宋"/>
          <w:szCs w:val="32"/>
        </w:rPr>
      </w:pPr>
      <w:r>
        <w:rPr>
          <w:rFonts w:hint="eastAsia" w:ascii="仿宋" w:hAnsi="仿宋" w:eastAsia="仿宋" w:cs="仿宋"/>
          <w:szCs w:val="32"/>
        </w:rPr>
        <w:t>完成区委、区政府交办的其他任务。</w:t>
      </w:r>
    </w:p>
    <w:p>
      <w:pPr>
        <w:numPr>
          <w:ilvl w:val="0"/>
          <w:numId w:val="2"/>
        </w:numPr>
        <w:ind w:firstLine="640" w:firstLineChars="200"/>
        <w:rPr>
          <w:rFonts w:ascii="仿宋" w:hAnsi="仿宋" w:eastAsia="仿宋" w:cs="仿宋"/>
          <w:szCs w:val="32"/>
        </w:rPr>
      </w:pPr>
      <w:r>
        <w:rPr>
          <w:rFonts w:hint="eastAsia" w:ascii="仿宋" w:hAnsi="仿宋" w:eastAsia="仿宋" w:cs="仿宋"/>
          <w:szCs w:val="32"/>
        </w:rPr>
        <w:t>有关职责分工。</w:t>
      </w:r>
    </w:p>
    <w:p>
      <w:pPr>
        <w:numPr>
          <w:ilvl w:val="0"/>
          <w:numId w:val="3"/>
        </w:numPr>
        <w:ind w:firstLine="640" w:firstLineChars="200"/>
        <w:rPr>
          <w:rFonts w:ascii="仿宋" w:hAnsi="仿宋" w:eastAsia="仿宋" w:cs="仿宋"/>
          <w:szCs w:val="32"/>
        </w:rPr>
      </w:pPr>
      <w:r>
        <w:rPr>
          <w:rFonts w:hint="eastAsia" w:ascii="仿宋" w:hAnsi="仿宋" w:eastAsia="仿宋" w:cs="仿宋"/>
          <w:szCs w:val="32"/>
        </w:rPr>
        <w:t>与区卫生健康委的有关职责分工。区卫生健康委员会、区医疗保障局等部门在医疗、医保、医药等方面加强制度、政策衔接，建立沟通协商机制，协同推进改革，提高医疗资源使用效率和医疗保障水平。</w:t>
      </w:r>
    </w:p>
    <w:p>
      <w:pPr>
        <w:numPr>
          <w:ilvl w:val="0"/>
          <w:numId w:val="3"/>
        </w:numPr>
        <w:ind w:firstLine="640" w:firstLineChars="200"/>
        <w:rPr>
          <w:rFonts w:hint="eastAsia" w:ascii="仿宋" w:hAnsi="仿宋" w:eastAsia="仿宋" w:cs="仿宋"/>
          <w:szCs w:val="32"/>
        </w:rPr>
      </w:pPr>
      <w:r>
        <w:rPr>
          <w:rFonts w:hint="eastAsia" w:ascii="仿宋" w:hAnsi="仿宋" w:eastAsia="仿宋" w:cs="仿宋"/>
          <w:szCs w:val="32"/>
        </w:rPr>
        <w:t>与区人力资源和社会保障局的有关职责分工。区医疗保障局、区人力资源和社会保障局在全民参保登记计划，社会保险服务平台建设，社会保障卡制发、管理、应用和服务等方面加强制度、政策衔接，建立沟通协商机制，提高经办服务效率。</w:t>
      </w:r>
    </w:p>
    <w:p>
      <w:pPr>
        <w:ind w:firstLine="640" w:firstLineChars="200"/>
        <w:rPr>
          <w:rFonts w:ascii="黑体" w:hAnsi="黑体" w:eastAsia="黑体"/>
          <w:szCs w:val="32"/>
        </w:rPr>
      </w:pPr>
      <w:r>
        <w:rPr>
          <w:rFonts w:hint="eastAsia" w:ascii="黑体" w:hAnsi="黑体" w:eastAsia="黑体"/>
          <w:szCs w:val="32"/>
        </w:rPr>
        <w:t>二、机构设置情况</w:t>
      </w:r>
    </w:p>
    <w:p>
      <w:pPr>
        <w:ind w:left="210" w:firstLine="640" w:firstLineChars="200"/>
        <w:rPr>
          <w:rFonts w:ascii="仿宋" w:hAnsi="仿宋" w:eastAsia="仿宋" w:cs="仿宋"/>
          <w:szCs w:val="32"/>
        </w:rPr>
      </w:pPr>
      <w:r>
        <w:rPr>
          <w:rFonts w:hint="eastAsia" w:ascii="仿宋" w:hAnsi="仿宋" w:eastAsia="仿宋"/>
          <w:szCs w:val="32"/>
        </w:rPr>
        <w:t>根</w:t>
      </w:r>
      <w:r>
        <w:rPr>
          <w:rFonts w:hint="eastAsia" w:ascii="仿宋" w:hAnsi="仿宋" w:eastAsia="仿宋" w:cs="仿宋"/>
          <w:szCs w:val="32"/>
        </w:rPr>
        <w:t>据工作职责及实际工作需要，下设：</w:t>
      </w:r>
    </w:p>
    <w:p>
      <w:pPr>
        <w:numPr>
          <w:ilvl w:val="0"/>
          <w:numId w:val="4"/>
        </w:numPr>
        <w:ind w:firstLine="640" w:firstLineChars="200"/>
        <w:rPr>
          <w:rFonts w:ascii="仿宋" w:hAnsi="仿宋" w:eastAsia="仿宋" w:cs="仿宋"/>
          <w:szCs w:val="32"/>
        </w:rPr>
      </w:pPr>
      <w:r>
        <w:rPr>
          <w:rFonts w:hint="eastAsia" w:ascii="仿宋" w:hAnsi="仿宋" w:eastAsia="仿宋" w:cs="仿宋"/>
          <w:szCs w:val="32"/>
        </w:rPr>
        <w:t>办公室（人事股）。负责处理局党组事务，承担党组会、党组（扩大）会议的记录、分解和落实工作，重点工作督导检查。承担党的建设、党风廉政、纪检监察、精神文明、调研等工作。</w:t>
      </w:r>
    </w:p>
    <w:p>
      <w:pPr>
        <w:numPr>
          <w:ilvl w:val="0"/>
          <w:numId w:val="4"/>
        </w:numPr>
        <w:ind w:firstLine="640" w:firstLineChars="200"/>
        <w:rPr>
          <w:rFonts w:ascii="仿宋" w:hAnsi="仿宋" w:eastAsia="仿宋" w:cs="仿宋"/>
          <w:szCs w:val="32"/>
        </w:rPr>
      </w:pPr>
      <w:r>
        <w:rPr>
          <w:rFonts w:hint="eastAsia" w:ascii="仿宋" w:hAnsi="仿宋" w:eastAsia="仿宋" w:cs="仿宋"/>
          <w:szCs w:val="32"/>
        </w:rPr>
        <w:t>基金监督股（规划财务和法规股）。拟定全区医疗保障监督管理办法并组织实施；建立健全医疗保障基金安全防控机制；建立健全医疗保障信用评价体系和信息披露制度；承担协议单位的日常监管、年度考核、奖惩工作。监督管理纳入医保支付范围的医疗服务行为和医疗服务行为和医疗费用，承担各定点机构、互联互职工和居民医疗保障、生育保险、慢性病等结算申请数据的审核。规范医保经办服务，依法查处医疗保障领域违法违规行为。承担重症慢性病申报、认定和发证管理工作；牵头本部门行政审批工作。</w:t>
      </w:r>
    </w:p>
    <w:p>
      <w:pPr>
        <w:ind w:left="210" w:firstLine="640" w:firstLineChars="200"/>
        <w:rPr>
          <w:rFonts w:ascii="仿宋" w:hAnsi="仿宋" w:eastAsia="仿宋" w:cs="仿宋"/>
          <w:szCs w:val="32"/>
        </w:rPr>
      </w:pPr>
      <w:r>
        <w:rPr>
          <w:rFonts w:hint="eastAsia" w:ascii="仿宋" w:hAnsi="仿宋" w:eastAsia="仿宋" w:cs="仿宋"/>
          <w:szCs w:val="32"/>
        </w:rPr>
        <w:t>承担机关财务、基金财务、资产管理、内部审计、各项基金支出的内控审核和医疗保障系统统计工作。推进医疗保障标准化和信息化建设。承担有关规范性文件起草工作；组织拟定区医疗保障工作规划；承担机关有关规范性文件合法性审查和清理工作；承担行政复议、行政应诉有关工作。</w:t>
      </w:r>
    </w:p>
    <w:p>
      <w:pPr>
        <w:numPr>
          <w:ilvl w:val="0"/>
          <w:numId w:val="4"/>
        </w:numPr>
        <w:ind w:firstLine="640" w:firstLineChars="200"/>
        <w:rPr>
          <w:rFonts w:ascii="仿宋" w:hAnsi="仿宋" w:eastAsia="仿宋" w:cs="仿宋"/>
          <w:szCs w:val="32"/>
        </w:rPr>
      </w:pPr>
      <w:r>
        <w:rPr>
          <w:rFonts w:hint="eastAsia" w:ascii="仿宋" w:hAnsi="仿宋" w:eastAsia="仿宋" w:cs="仿宋"/>
          <w:szCs w:val="32"/>
        </w:rPr>
        <w:t>职工和居民待遇保障股（基金征缴股）。落实职工医疗保障、生育保险和离休干部医疗保障筹资和待遇政策，统筹职工医疗保障待遇标准；统筹推进城镇职工多层次医疗保障体系建设；建立健全职工医疗保险关系转移接续制度；推进长期护理保险制度改革；组织实施全区相关医疗宝行对象体检；承担职工医疗住院费用、慢性病、生育保险的结算。</w:t>
      </w:r>
    </w:p>
    <w:p>
      <w:pPr>
        <w:ind w:left="210" w:firstLine="640" w:firstLineChars="200"/>
        <w:rPr>
          <w:rFonts w:ascii="仿宋" w:hAnsi="仿宋" w:eastAsia="仿宋" w:cs="仿宋"/>
          <w:szCs w:val="32"/>
        </w:rPr>
      </w:pPr>
      <w:r>
        <w:rPr>
          <w:rFonts w:hint="eastAsia" w:ascii="仿宋" w:hAnsi="仿宋" w:eastAsia="仿宋" w:cs="仿宋"/>
          <w:szCs w:val="32"/>
        </w:rPr>
        <w:t>落实城乡居民医疗保障筹资和待遇政策，统筹城乡居民医疗保障待遇标准；统筹推进城乡居民多层次医疗保障体系建设；建立健全城乡居民医疗保险关系转移接续制度；承担居民医疗住院费用、慢性病、生育保险的结算。</w:t>
      </w:r>
    </w:p>
    <w:p>
      <w:pPr>
        <w:ind w:left="210" w:firstLine="640" w:firstLineChars="200"/>
        <w:rPr>
          <w:rFonts w:ascii="仿宋" w:hAnsi="仿宋" w:eastAsia="仿宋" w:cs="仿宋"/>
          <w:szCs w:val="32"/>
        </w:rPr>
      </w:pPr>
      <w:r>
        <w:rPr>
          <w:rFonts w:hint="eastAsia" w:ascii="仿宋" w:hAnsi="仿宋" w:eastAsia="仿宋" w:cs="仿宋"/>
          <w:szCs w:val="32"/>
        </w:rPr>
        <w:t>承担职工医疗保险、生育保险参保、转移、基金征收核定、上传等工作。</w:t>
      </w:r>
    </w:p>
    <w:p>
      <w:pPr>
        <w:numPr>
          <w:ilvl w:val="0"/>
          <w:numId w:val="4"/>
        </w:numPr>
        <w:ind w:firstLine="640" w:firstLineChars="200"/>
        <w:rPr>
          <w:rFonts w:ascii="仿宋" w:hAnsi="仿宋" w:eastAsia="仿宋" w:cs="仿宋"/>
          <w:szCs w:val="32"/>
        </w:rPr>
      </w:pPr>
      <w:r>
        <w:rPr>
          <w:rFonts w:hint="eastAsia" w:ascii="仿宋" w:hAnsi="仿宋" w:eastAsia="仿宋" w:cs="仿宋"/>
          <w:szCs w:val="32"/>
        </w:rPr>
        <w:t>医疗服务管理股（异地就医管理股）。拟定定点医药机构医保协议和支付标准；组织开展药品、医用耗材、医疗技术的经济性评价。承担重症慢性病信息录入工作；承担“两定”机构资格申报。</w:t>
      </w:r>
    </w:p>
    <w:p>
      <w:pPr>
        <w:ind w:left="210" w:firstLine="640" w:firstLineChars="200"/>
        <w:rPr>
          <w:rFonts w:ascii="仿宋" w:hAnsi="仿宋" w:eastAsia="仿宋" w:cs="仿宋"/>
          <w:szCs w:val="32"/>
        </w:rPr>
      </w:pPr>
      <w:r>
        <w:rPr>
          <w:rFonts w:hint="eastAsia" w:ascii="仿宋" w:hAnsi="仿宋" w:eastAsia="仿宋" w:cs="仿宋"/>
          <w:szCs w:val="32"/>
        </w:rPr>
        <w:t>负责异地就医管理和结算；组织推进医保支付方式改革；承担职工、居民转诊审批及转外报销材料审核；建立健全医疗保障关系转移接续制度。</w:t>
      </w:r>
    </w:p>
    <w:p>
      <w:pPr>
        <w:numPr>
          <w:ilvl w:val="0"/>
          <w:numId w:val="4"/>
        </w:numPr>
        <w:ind w:firstLine="640" w:firstLineChars="200"/>
        <w:rPr>
          <w:rFonts w:ascii="仿宋" w:hAnsi="仿宋" w:eastAsia="仿宋" w:cs="仿宋"/>
          <w:szCs w:val="32"/>
        </w:rPr>
      </w:pPr>
      <w:r>
        <w:rPr>
          <w:rFonts w:hint="eastAsia" w:ascii="仿宋" w:hAnsi="仿宋" w:eastAsia="仿宋" w:cs="仿宋"/>
          <w:szCs w:val="32"/>
        </w:rPr>
        <w:t>医药价格管理股（医疗保险救助股）执行全区药品、医用耗材价格和医疗服务项目、医疗服务设施收费等政策，建立价格信息监测和发布制度；组织实施药品、医用耗材的招标采购、配送及结算管理政策并监督实施；推进招标采购平台建设。</w:t>
      </w:r>
    </w:p>
    <w:p>
      <w:pPr>
        <w:ind w:left="210" w:firstLine="640" w:firstLineChars="200"/>
        <w:rPr>
          <w:rFonts w:ascii="仿宋" w:hAnsi="仿宋" w:eastAsia="仿宋" w:cs="仿宋"/>
          <w:szCs w:val="32"/>
        </w:rPr>
      </w:pPr>
      <w:r>
        <w:rPr>
          <w:rFonts w:hint="eastAsia" w:ascii="仿宋" w:hAnsi="仿宋" w:eastAsia="仿宋" w:cs="仿宋"/>
          <w:szCs w:val="32"/>
        </w:rPr>
        <w:t>编制医疗救助工作计划、资金需求计划并组织实施；负责资金的发放和监督、救助对象待遇的审核、审批、停发工作。负责大病保险和困难群众大病补充保险、指导规范保险经办机构开展医疗保险和合同履约工作。</w:t>
      </w:r>
    </w:p>
    <w:p>
      <w:pPr>
        <w:ind w:left="210" w:firstLine="640" w:firstLineChars="200"/>
        <w:rPr>
          <w:rFonts w:hint="eastAsia" w:ascii="仿宋" w:hAnsi="仿宋" w:eastAsia="仿宋" w:cs="仿宋"/>
          <w:szCs w:val="32"/>
        </w:rPr>
      </w:pPr>
      <w:r>
        <w:rPr>
          <w:rFonts w:hint="eastAsia" w:ascii="仿宋" w:hAnsi="仿宋" w:eastAsia="仿宋"/>
          <w:szCs w:val="32"/>
        </w:rPr>
        <w:t>本部门无独立核算的下属预算单位，部门本级预算即汇总预算。</w:t>
      </w:r>
    </w:p>
    <w:p>
      <w:pPr>
        <w:pStyle w:val="6"/>
        <w:topLinePunct/>
        <w:spacing w:before="0" w:beforeAutospacing="0" w:after="0" w:afterAutospacing="0" w:line="360" w:lineRule="auto"/>
        <w:ind w:firstLine="3600" w:firstLineChars="1000"/>
        <w:jc w:val="both"/>
        <w:rPr>
          <w:rFonts w:hint="eastAsia" w:ascii="黑体" w:hAnsi="黑体" w:eastAsia="黑体"/>
          <w:color w:val="000000"/>
          <w:sz w:val="36"/>
          <w:szCs w:val="32"/>
        </w:rPr>
      </w:pPr>
    </w:p>
    <w:p>
      <w:pPr>
        <w:pStyle w:val="6"/>
        <w:topLinePunct/>
        <w:spacing w:before="0" w:beforeAutospacing="0" w:after="0" w:afterAutospacing="0" w:line="360" w:lineRule="auto"/>
        <w:ind w:firstLine="3600" w:firstLineChars="1000"/>
        <w:jc w:val="both"/>
        <w:rPr>
          <w:rFonts w:ascii="Calibri" w:hAnsi="Calibri"/>
          <w:color w:val="000000"/>
          <w:sz w:val="22"/>
          <w:szCs w:val="21"/>
        </w:rPr>
      </w:pPr>
      <w:r>
        <w:rPr>
          <w:rFonts w:hint="eastAsia" w:ascii="黑体" w:hAnsi="黑体" w:eastAsia="黑体"/>
          <w:color w:val="000000"/>
          <w:sz w:val="36"/>
          <w:szCs w:val="32"/>
        </w:rPr>
        <w:t>第二部分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2020年部门预算情况说明</w:t>
      </w:r>
    </w:p>
    <w:p>
      <w:pPr>
        <w:ind w:firstLine="640" w:firstLineChars="200"/>
        <w:rPr>
          <w:rFonts w:ascii="华文仿宋" w:hAnsi="华文仿宋" w:eastAsia="华文仿宋"/>
          <w:szCs w:val="32"/>
        </w:rPr>
      </w:pPr>
    </w:p>
    <w:p>
      <w:pPr>
        <w:ind w:firstLine="640" w:firstLineChars="200"/>
        <w:rPr>
          <w:rFonts w:ascii="黑体" w:hAnsi="黑体" w:eastAsia="黑体"/>
          <w:szCs w:val="32"/>
        </w:rPr>
      </w:pPr>
      <w:r>
        <w:rPr>
          <w:rFonts w:hint="eastAsia" w:ascii="黑体" w:hAnsi="黑体" w:eastAsia="黑体"/>
          <w:szCs w:val="32"/>
        </w:rPr>
        <w:t>一、本级预算和所属单位预算在内的汇总预算总体情况</w:t>
      </w: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r>
        <w:rPr>
          <w:rFonts w:ascii="仿宋" w:hAnsi="仿宋" w:eastAsia="仿宋"/>
          <w:szCs w:val="32"/>
        </w:rPr>
        <w:t>20</w:t>
      </w:r>
      <w:r>
        <w:rPr>
          <w:rFonts w:hint="eastAsia" w:ascii="仿宋" w:hAnsi="仿宋" w:eastAsia="仿宋"/>
          <w:szCs w:val="32"/>
        </w:rPr>
        <w:t>20年本部门预算收入总计1708.51万元，支出总计1708.51万元。</w:t>
      </w:r>
    </w:p>
    <w:p>
      <w:pPr>
        <w:ind w:firstLine="640" w:firstLineChars="200"/>
        <w:rPr>
          <w:rFonts w:ascii="黑体" w:hAnsi="黑体" w:eastAsia="黑体"/>
          <w:szCs w:val="32"/>
        </w:rPr>
      </w:pPr>
      <w:r>
        <w:rPr>
          <w:rFonts w:hint="eastAsia" w:ascii="黑体" w:hAnsi="黑体" w:eastAsia="黑体"/>
          <w:szCs w:val="32"/>
        </w:rPr>
        <w:t>二、部门预算收支增减变动情况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20年本部门预算收入总计1708.51万元，支出总计1708.51万元。其中：基本支出354.86万元，占比20.8%，项目支出1353.65万元，占比79.2%。</w:t>
      </w:r>
    </w:p>
    <w:p>
      <w:pPr>
        <w:ind w:firstLine="640" w:firstLineChars="200"/>
        <w:rPr>
          <w:rFonts w:ascii="仿宋" w:hAnsi="仿宋" w:eastAsia="仿宋"/>
          <w:szCs w:val="32"/>
        </w:rPr>
      </w:pPr>
      <w:r>
        <w:rPr>
          <w:rFonts w:hint="eastAsia" w:ascii="仿宋" w:hAnsi="仿宋" w:eastAsia="仿宋"/>
          <w:szCs w:val="32"/>
        </w:rPr>
        <w:t>濮阳市华龙区医疗保障局是新成立局委，不涉及以前年度的增减变动情况。</w:t>
      </w:r>
    </w:p>
    <w:p>
      <w:pPr>
        <w:ind w:firstLine="640" w:firstLineChars="200"/>
        <w:rPr>
          <w:rFonts w:ascii="黑体" w:hAnsi="黑体" w:eastAsia="黑体"/>
          <w:szCs w:val="32"/>
        </w:rPr>
      </w:pPr>
      <w:r>
        <w:rPr>
          <w:rFonts w:hint="eastAsia" w:ascii="黑体" w:hAnsi="黑体" w:eastAsia="黑体"/>
          <w:szCs w:val="32"/>
        </w:rPr>
        <w:t>三、一般公共预算基本支出情况</w:t>
      </w:r>
    </w:p>
    <w:p>
      <w:pPr>
        <w:ind w:firstLine="640" w:firstLineChars="200"/>
        <w:rPr>
          <w:rFonts w:ascii="仿宋" w:hAnsi="仿宋" w:eastAsia="仿宋"/>
          <w:szCs w:val="32"/>
        </w:rPr>
      </w:pPr>
      <w:r>
        <w:rPr>
          <w:rFonts w:hint="eastAsia" w:ascii="仿宋" w:hAnsi="仿宋" w:eastAsia="仿宋"/>
          <w:szCs w:val="32"/>
        </w:rPr>
        <w:t>2020年本部门一般公共预算基本支出354.86万元，其中：人员经费337.66万元，主要包括：基本工资、津贴补贴、绩效工资、机关事业单位基本养老保险缴费、医疗保险缴费、其他社会保障缴费、住房公积金；公用经费17.2万元，主要包括：办公费、维修（护）费、会议费、培训费、公务接待费、委托业务费、公务用车运行维护费、其他商品和服务支出等。</w:t>
      </w:r>
    </w:p>
    <w:p>
      <w:pPr>
        <w:ind w:firstLine="640" w:firstLineChars="200"/>
        <w:rPr>
          <w:rFonts w:ascii="黑体" w:hAnsi="黑体" w:eastAsia="黑体"/>
          <w:szCs w:val="32"/>
        </w:rPr>
      </w:pPr>
      <w:r>
        <w:rPr>
          <w:rFonts w:hint="eastAsia" w:ascii="黑体" w:hAnsi="黑体" w:eastAsia="黑体"/>
          <w:szCs w:val="32"/>
        </w:rPr>
        <w:t>四、机关运行经费安排情况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机关运行经费安排17.2万元，主要用于保障机关机构正常运转及正常履职需要的办公费、维修（护）费、会议费、培训费、公务接待费、委托业务费、公务用车运行维护费、其他商品和服务支出等方面。濮阳市华龙区医疗保障局是新成立局委，不涉及以前年度的增减。</w:t>
      </w:r>
    </w:p>
    <w:p>
      <w:pPr>
        <w:ind w:firstLine="640" w:firstLineChars="200"/>
        <w:rPr>
          <w:rFonts w:ascii="黑体" w:hAnsi="黑体" w:eastAsia="黑体"/>
          <w:szCs w:val="32"/>
        </w:rPr>
      </w:pPr>
      <w:r>
        <w:rPr>
          <w:rFonts w:hint="eastAsia" w:ascii="黑体" w:hAnsi="黑体" w:eastAsia="黑体"/>
          <w:szCs w:val="32"/>
        </w:rPr>
        <w:t>五、“三公”经费安排情况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20年本部门“三公”经费预算5万元。濮阳市华龙区医疗保障局是新成立局委，不涉及以前年度的增减。</w:t>
      </w:r>
    </w:p>
    <w:p>
      <w:pPr>
        <w:ind w:firstLine="640" w:firstLineChars="200"/>
        <w:rPr>
          <w:rFonts w:ascii="仿宋" w:hAnsi="仿宋" w:eastAsia="仿宋"/>
          <w:szCs w:val="32"/>
        </w:rPr>
      </w:pPr>
      <w:r>
        <w:rPr>
          <w:rFonts w:hint="eastAsia" w:ascii="仿宋" w:hAnsi="仿宋" w:eastAsia="仿宋"/>
          <w:szCs w:val="32"/>
        </w:rPr>
        <w:t>1.因公出国（境）费0万元；</w:t>
      </w:r>
    </w:p>
    <w:p>
      <w:pPr>
        <w:ind w:firstLine="640" w:firstLineChars="200"/>
        <w:rPr>
          <w:rFonts w:ascii="仿宋" w:hAnsi="仿宋" w:eastAsia="仿宋"/>
          <w:szCs w:val="32"/>
        </w:rPr>
      </w:pPr>
      <w:r>
        <w:rPr>
          <w:rFonts w:hint="eastAsia" w:ascii="仿宋" w:hAnsi="仿宋" w:eastAsia="仿宋"/>
          <w:szCs w:val="32"/>
        </w:rPr>
        <w:t>2.公务用车购置及运行费</w:t>
      </w:r>
      <w:r>
        <w:rPr>
          <w:rFonts w:ascii="仿宋" w:hAnsi="仿宋" w:eastAsia="仿宋"/>
          <w:szCs w:val="32"/>
        </w:rPr>
        <w:t>3</w:t>
      </w:r>
      <w:r>
        <w:rPr>
          <w:rFonts w:hint="eastAsia" w:ascii="仿宋" w:hAnsi="仿宋" w:eastAsia="仿宋"/>
          <w:szCs w:val="32"/>
        </w:rPr>
        <w:t>万元，其中：公务用车购置</w:t>
      </w:r>
      <w:r>
        <w:rPr>
          <w:rFonts w:ascii="仿宋" w:hAnsi="仿宋" w:eastAsia="仿宋"/>
          <w:szCs w:val="32"/>
        </w:rPr>
        <w:t>0</w:t>
      </w:r>
      <w:r>
        <w:rPr>
          <w:rFonts w:hint="eastAsia" w:ascii="仿宋" w:hAnsi="仿宋" w:eastAsia="仿宋"/>
          <w:szCs w:val="32"/>
        </w:rPr>
        <w:t>万元，公务用车运行费</w:t>
      </w:r>
      <w:r>
        <w:rPr>
          <w:rFonts w:ascii="仿宋" w:hAnsi="仿宋" w:eastAsia="仿宋"/>
          <w:szCs w:val="32"/>
        </w:rPr>
        <w:t>3</w:t>
      </w:r>
      <w:r>
        <w:rPr>
          <w:rFonts w:hint="eastAsia" w:ascii="仿宋" w:hAnsi="仿宋" w:eastAsia="仿宋"/>
          <w:szCs w:val="32"/>
        </w:rPr>
        <w:t>万元。</w:t>
      </w:r>
    </w:p>
    <w:p>
      <w:pPr>
        <w:ind w:firstLine="640" w:firstLineChars="200"/>
        <w:rPr>
          <w:rFonts w:ascii="仿宋" w:hAnsi="仿宋" w:eastAsia="仿宋"/>
          <w:szCs w:val="32"/>
        </w:rPr>
      </w:pPr>
      <w:r>
        <w:rPr>
          <w:rFonts w:hint="eastAsia" w:ascii="仿宋" w:hAnsi="仿宋" w:eastAsia="仿宋"/>
          <w:szCs w:val="32"/>
        </w:rPr>
        <w:t>3.公务接待费2万元。</w:t>
      </w:r>
    </w:p>
    <w:p>
      <w:pPr>
        <w:ind w:firstLine="640" w:firstLineChars="200"/>
        <w:rPr>
          <w:rFonts w:ascii="仿宋" w:hAnsi="仿宋" w:eastAsia="仿宋"/>
          <w:szCs w:val="32"/>
        </w:rPr>
      </w:pPr>
      <w:r>
        <w:rPr>
          <w:rFonts w:hint="eastAsia" w:ascii="黑体" w:hAnsi="黑体" w:eastAsia="黑体"/>
          <w:szCs w:val="32"/>
        </w:rPr>
        <w:t>六、政府采购安排情况</w:t>
      </w:r>
    </w:p>
    <w:p>
      <w:pPr>
        <w:ind w:firstLine="640" w:firstLineChars="200"/>
        <w:rPr>
          <w:rFonts w:ascii="仿宋" w:hAnsi="仿宋" w:eastAsia="仿宋"/>
          <w:szCs w:val="32"/>
        </w:rPr>
      </w:pPr>
      <w:r>
        <w:rPr>
          <w:rFonts w:hint="eastAsia" w:ascii="仿宋" w:hAnsi="仿宋" w:eastAsia="仿宋"/>
          <w:szCs w:val="32"/>
        </w:rPr>
        <w:t>20</w:t>
      </w:r>
      <w:r>
        <w:rPr>
          <w:rFonts w:ascii="仿宋" w:hAnsi="仿宋" w:eastAsia="仿宋"/>
          <w:szCs w:val="32"/>
        </w:rPr>
        <w:t>20</w:t>
      </w:r>
      <w:r>
        <w:rPr>
          <w:rFonts w:hint="eastAsia" w:ascii="仿宋" w:hAnsi="仿宋" w:eastAsia="仿宋"/>
          <w:szCs w:val="32"/>
        </w:rPr>
        <w:t>年本部门拟安排政府采购预算3.952万元，其中：政府采购货物支出3.952万元、政府采购服务支出0万元。具体采购明细如下：</w:t>
      </w:r>
    </w:p>
    <w:p>
      <w:pPr>
        <w:ind w:firstLine="640" w:firstLineChars="200"/>
        <w:rPr>
          <w:rFonts w:ascii="仿宋" w:hAnsi="仿宋" w:eastAsia="仿宋"/>
          <w:szCs w:val="32"/>
        </w:rPr>
      </w:pPr>
      <w:r>
        <w:rPr>
          <w:rFonts w:hint="eastAsia" w:ascii="仿宋" w:hAnsi="仿宋" w:eastAsia="仿宋"/>
          <w:szCs w:val="32"/>
        </w:rPr>
        <w:t>办公设备文件柜18套，共计1.404万元；五节文件柜，26套，共计2.548万元。</w:t>
      </w:r>
    </w:p>
    <w:p>
      <w:pPr>
        <w:ind w:firstLine="640" w:firstLineChars="200"/>
        <w:rPr>
          <w:rFonts w:ascii="黑体" w:hAnsi="黑体" w:eastAsia="黑体"/>
          <w:szCs w:val="32"/>
        </w:rPr>
      </w:pPr>
      <w:r>
        <w:rPr>
          <w:rFonts w:hint="eastAsia" w:ascii="黑体" w:hAnsi="黑体" w:eastAsia="黑体"/>
          <w:szCs w:val="32"/>
        </w:rPr>
        <w:t>七、政府性基金预算安排情况</w:t>
      </w:r>
    </w:p>
    <w:p>
      <w:pPr>
        <w:ind w:firstLine="640" w:firstLineChars="200"/>
        <w:rPr>
          <w:rFonts w:ascii="仿宋" w:hAnsi="仿宋" w:eastAsia="仿宋" w:cs="Times New Roman"/>
          <w:sz w:val="32"/>
          <w:szCs w:val="32"/>
        </w:rPr>
      </w:pPr>
      <w:r>
        <w:rPr>
          <w:rFonts w:hint="eastAsia" w:ascii="仿宋" w:hAnsi="仿宋" w:eastAsia="仿宋" w:cs="仿宋"/>
          <w:sz w:val="32"/>
          <w:szCs w:val="32"/>
        </w:rPr>
        <w:t>本部门无政府性基金预算</w:t>
      </w:r>
      <w:r>
        <w:rPr>
          <w:rFonts w:hint="eastAsia" w:ascii="仿宋" w:hAnsi="仿宋" w:eastAsia="仿宋" w:cs="仿宋"/>
          <w:sz w:val="32"/>
          <w:szCs w:val="32"/>
          <w:lang w:val="en-US" w:eastAsia="zh-CN"/>
        </w:rPr>
        <w:t>收支</w:t>
      </w:r>
      <w:r>
        <w:rPr>
          <w:rFonts w:hint="eastAsia" w:ascii="仿宋" w:hAnsi="仿宋" w:eastAsia="仿宋" w:cs="仿宋"/>
          <w:sz w:val="32"/>
          <w:szCs w:val="32"/>
        </w:rPr>
        <w:t>安排</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较上年无变动</w:t>
      </w:r>
      <w:r>
        <w:rPr>
          <w:rFonts w:hint="eastAsia" w:ascii="仿宋" w:hAnsi="仿宋" w:eastAsia="仿宋" w:cs="仿宋"/>
          <w:sz w:val="32"/>
          <w:szCs w:val="32"/>
        </w:rPr>
        <w:t>。</w:t>
      </w:r>
    </w:p>
    <w:p>
      <w:pPr>
        <w:ind w:firstLine="640" w:firstLineChars="200"/>
        <w:rPr>
          <w:rFonts w:ascii="黑体" w:hAnsi="黑体" w:eastAsia="黑体"/>
          <w:szCs w:val="32"/>
        </w:rPr>
      </w:pPr>
      <w:bookmarkStart w:id="0" w:name="_GoBack"/>
      <w:bookmarkEnd w:id="0"/>
      <w:r>
        <w:rPr>
          <w:rFonts w:hint="eastAsia" w:ascii="黑体" w:hAnsi="黑体" w:eastAsia="黑体"/>
          <w:szCs w:val="32"/>
        </w:rPr>
        <w:t>八、</w:t>
      </w:r>
      <w:r>
        <w:rPr>
          <w:rFonts w:ascii="黑体" w:hAnsi="黑体" w:eastAsia="黑体"/>
          <w:szCs w:val="32"/>
        </w:rPr>
        <w:t>国有资产占用情况</w:t>
      </w:r>
    </w:p>
    <w:p>
      <w:pPr>
        <w:ind w:firstLine="640" w:firstLineChars="200"/>
        <w:rPr>
          <w:rFonts w:ascii="仿宋" w:hAnsi="仿宋" w:eastAsia="仿宋"/>
          <w:szCs w:val="32"/>
        </w:rPr>
      </w:pPr>
      <w:r>
        <w:rPr>
          <w:rFonts w:ascii="仿宋" w:hAnsi="仿宋" w:eastAsia="仿宋"/>
          <w:szCs w:val="32"/>
        </w:rPr>
        <w:t>截止201</w:t>
      </w:r>
      <w:r>
        <w:rPr>
          <w:rFonts w:hint="eastAsia" w:ascii="仿宋" w:hAnsi="仿宋" w:eastAsia="仿宋"/>
          <w:szCs w:val="32"/>
        </w:rPr>
        <w:t>9年末，本部门共有：房屋建筑物0（平方、间）；车辆0辆，其中：一般公务用车0辆、一般执法执勤用车0辆、特种专业技术用车0辆，其他用车0辆。</w:t>
      </w:r>
    </w:p>
    <w:p>
      <w:pPr>
        <w:ind w:firstLine="640" w:firstLineChars="200"/>
        <w:rPr>
          <w:rFonts w:ascii="黑体" w:hAnsi="黑体" w:eastAsia="黑体"/>
          <w:szCs w:val="32"/>
        </w:rPr>
      </w:pPr>
      <w:r>
        <w:rPr>
          <w:rFonts w:hint="eastAsia" w:ascii="黑体" w:hAnsi="黑体" w:eastAsia="黑体"/>
          <w:szCs w:val="32"/>
        </w:rPr>
        <w:t>九、预算绩效管理工作开展情况</w:t>
      </w:r>
    </w:p>
    <w:p>
      <w:pPr>
        <w:ind w:firstLine="640" w:firstLineChars="200"/>
        <w:rPr>
          <w:rFonts w:ascii="仿宋" w:hAnsi="仿宋" w:eastAsia="仿宋"/>
          <w:szCs w:val="32"/>
        </w:rPr>
      </w:pPr>
      <w:r>
        <w:rPr>
          <w:rFonts w:hint="eastAsia" w:ascii="仿宋" w:hAnsi="仿宋" w:eastAsia="仿宋"/>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4个项目，1341.1万元，并将以此为基础开展后续预算绩效管理工作，努力建立健全以结果为导向的预算绩效管理工作机制。</w:t>
      </w:r>
    </w:p>
    <w:p>
      <w:pPr>
        <w:widowControl/>
        <w:jc w:val="left"/>
        <w:rPr>
          <w:rFonts w:ascii="仿宋" w:hAnsi="仿宋" w:eastAsia="仿宋"/>
          <w:szCs w:val="32"/>
        </w:rPr>
      </w:pPr>
      <w:r>
        <w:rPr>
          <w:rFonts w:ascii="仿宋" w:hAnsi="仿宋" w:eastAsia="仿宋"/>
          <w:szCs w:val="32"/>
        </w:rPr>
        <w:br w:type="page"/>
      </w:r>
    </w:p>
    <w:p>
      <w:pPr>
        <w:ind w:firstLine="640" w:firstLineChars="200"/>
        <w:rPr>
          <w:rFonts w:hint="eastAsia" w:ascii="仿宋" w:hAnsi="仿宋" w:eastAsia="仿宋"/>
          <w:szCs w:val="32"/>
        </w:rPr>
      </w:pPr>
    </w:p>
    <w:p>
      <w:pPr>
        <w:pStyle w:val="6"/>
        <w:topLinePunct/>
        <w:spacing w:before="0" w:beforeAutospacing="0" w:after="0" w:afterAutospacing="0" w:line="360" w:lineRule="auto"/>
        <w:ind w:firstLine="3600" w:firstLineChars="1000"/>
        <w:jc w:val="both"/>
        <w:rPr>
          <w:rFonts w:ascii="Calibri" w:hAnsi="Calibri"/>
          <w:color w:val="000000"/>
          <w:sz w:val="22"/>
          <w:szCs w:val="21"/>
        </w:rPr>
      </w:pPr>
      <w:r>
        <w:rPr>
          <w:rFonts w:hint="eastAsia" w:ascii="黑体" w:hAnsi="黑体" w:eastAsia="黑体"/>
          <w:color w:val="000000"/>
          <w:sz w:val="36"/>
          <w:szCs w:val="32"/>
        </w:rPr>
        <w:t>第三部分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Cs w:val="32"/>
        </w:rPr>
      </w:pPr>
    </w:p>
    <w:p>
      <w:pPr>
        <w:ind w:firstLine="640"/>
        <w:rPr>
          <w:rFonts w:ascii="黑体" w:hAnsi="黑体" w:eastAsia="黑体"/>
          <w:szCs w:val="32"/>
        </w:rPr>
      </w:pPr>
      <w:r>
        <w:rPr>
          <w:rFonts w:hint="eastAsia" w:ascii="黑体" w:hAnsi="黑体" w:eastAsia="黑体"/>
          <w:szCs w:val="32"/>
        </w:rPr>
        <w:t>一、财政拨款收入</w:t>
      </w:r>
    </w:p>
    <w:p>
      <w:pPr>
        <w:ind w:firstLine="640"/>
        <w:rPr>
          <w:rFonts w:ascii="仿宋" w:hAnsi="仿宋" w:eastAsia="仿宋"/>
          <w:szCs w:val="32"/>
        </w:rPr>
      </w:pPr>
      <w:r>
        <w:rPr>
          <w:rFonts w:hint="eastAsia" w:ascii="仿宋" w:hAnsi="仿宋" w:eastAsia="仿宋"/>
          <w:szCs w:val="32"/>
        </w:rPr>
        <w:t>指本级财政当年拨付的资金。</w:t>
      </w:r>
    </w:p>
    <w:p>
      <w:pPr>
        <w:ind w:firstLine="640"/>
        <w:rPr>
          <w:rFonts w:ascii="黑体" w:hAnsi="黑体" w:eastAsia="黑体"/>
          <w:szCs w:val="32"/>
        </w:rPr>
      </w:pPr>
      <w:r>
        <w:rPr>
          <w:rFonts w:hint="eastAsia" w:ascii="黑体" w:hAnsi="黑体" w:eastAsia="黑体"/>
          <w:szCs w:val="32"/>
        </w:rPr>
        <w:t>二、事业收入</w:t>
      </w:r>
    </w:p>
    <w:p>
      <w:pPr>
        <w:ind w:firstLine="640" w:firstLineChars="200"/>
        <w:rPr>
          <w:rFonts w:ascii="仿宋" w:hAnsi="仿宋" w:eastAsia="仿宋"/>
          <w:szCs w:val="32"/>
        </w:rPr>
      </w:pPr>
      <w:r>
        <w:rPr>
          <w:rFonts w:hint="eastAsia" w:ascii="仿宋" w:hAnsi="仿宋" w:eastAsia="仿宋"/>
          <w:szCs w:val="32"/>
        </w:rPr>
        <w:t>指事业单位开展专务活动及辅助所取得的收入。</w:t>
      </w:r>
    </w:p>
    <w:p>
      <w:pPr>
        <w:ind w:firstLine="640"/>
        <w:rPr>
          <w:rFonts w:ascii="黑体" w:hAnsi="黑体" w:eastAsia="黑体"/>
          <w:szCs w:val="32"/>
        </w:rPr>
      </w:pPr>
      <w:r>
        <w:rPr>
          <w:rFonts w:hint="eastAsia" w:ascii="黑体" w:hAnsi="黑体" w:eastAsia="黑体"/>
          <w:szCs w:val="32"/>
        </w:rPr>
        <w:t>三、其他收入</w:t>
      </w:r>
    </w:p>
    <w:p>
      <w:pPr>
        <w:ind w:firstLine="640" w:firstLineChars="200"/>
        <w:rPr>
          <w:rFonts w:ascii="仿宋" w:hAnsi="仿宋" w:eastAsia="仿宋"/>
          <w:szCs w:val="32"/>
        </w:rPr>
      </w:pPr>
      <w:r>
        <w:rPr>
          <w:rFonts w:hint="eastAsia" w:ascii="仿宋" w:hAnsi="仿宋" w:eastAsia="仿宋"/>
          <w:szCs w:val="32"/>
        </w:rPr>
        <w:t>指除“财政拨款”、“事业收入”、“事业单位经营收入”、“附属单位上缴收入”等以外的收入。</w:t>
      </w:r>
    </w:p>
    <w:p>
      <w:pPr>
        <w:ind w:firstLine="640"/>
        <w:rPr>
          <w:rFonts w:ascii="黑体" w:hAnsi="黑体" w:eastAsia="黑体"/>
          <w:szCs w:val="32"/>
        </w:rPr>
      </w:pPr>
      <w:r>
        <w:rPr>
          <w:rFonts w:hint="eastAsia" w:ascii="黑体" w:hAnsi="黑体" w:eastAsia="黑体"/>
          <w:szCs w:val="32"/>
        </w:rPr>
        <w:t>四、基本支出</w:t>
      </w:r>
    </w:p>
    <w:p>
      <w:pPr>
        <w:ind w:firstLine="640" w:firstLineChars="200"/>
        <w:rPr>
          <w:rFonts w:ascii="仿宋" w:hAnsi="仿宋" w:eastAsia="仿宋"/>
          <w:szCs w:val="32"/>
        </w:rPr>
      </w:pPr>
      <w:r>
        <w:rPr>
          <w:rFonts w:hint="eastAsia" w:ascii="仿宋" w:hAnsi="仿宋" w:eastAsia="仿宋"/>
          <w:szCs w:val="32"/>
        </w:rPr>
        <w:t>指为保障机构正常运转、完成日常工作任务所必需的开支，其内容包括人员经费和日常公用经费两部分。</w:t>
      </w:r>
    </w:p>
    <w:p>
      <w:pPr>
        <w:ind w:firstLine="640"/>
        <w:rPr>
          <w:rFonts w:ascii="黑体" w:hAnsi="黑体" w:eastAsia="黑体"/>
          <w:szCs w:val="32"/>
        </w:rPr>
      </w:pPr>
      <w:r>
        <w:rPr>
          <w:rFonts w:hint="eastAsia" w:ascii="黑体" w:hAnsi="黑体" w:eastAsia="黑体"/>
          <w:szCs w:val="32"/>
        </w:rPr>
        <w:t>五、项目支出</w:t>
      </w:r>
    </w:p>
    <w:p>
      <w:pPr>
        <w:ind w:firstLine="640" w:firstLineChars="200"/>
        <w:rPr>
          <w:rFonts w:ascii="仿宋" w:hAnsi="仿宋" w:eastAsia="仿宋"/>
          <w:szCs w:val="32"/>
        </w:rPr>
      </w:pPr>
      <w:r>
        <w:rPr>
          <w:rFonts w:hint="eastAsia" w:ascii="仿宋" w:hAnsi="仿宋" w:eastAsia="仿宋"/>
          <w:szCs w:val="32"/>
        </w:rPr>
        <w:t>指在基本支出之外，为完成特定的行政工作任务或事业发展目标所发生的支出。</w:t>
      </w:r>
    </w:p>
    <w:p>
      <w:pPr>
        <w:ind w:firstLine="640"/>
        <w:rPr>
          <w:rFonts w:ascii="黑体" w:hAnsi="黑体" w:eastAsia="黑体"/>
          <w:szCs w:val="32"/>
        </w:rPr>
      </w:pPr>
      <w:r>
        <w:rPr>
          <w:rFonts w:hint="eastAsia" w:ascii="黑体" w:hAnsi="黑体" w:eastAsia="黑体"/>
          <w:szCs w:val="32"/>
        </w:rPr>
        <w:t>六、机关运行经费</w:t>
      </w:r>
    </w:p>
    <w:p>
      <w:pPr>
        <w:ind w:firstLine="640" w:firstLineChars="200"/>
        <w:rPr>
          <w:rFonts w:ascii="仿宋" w:hAnsi="仿宋" w:eastAsia="仿宋"/>
          <w:szCs w:val="32"/>
        </w:rPr>
      </w:pPr>
      <w:r>
        <w:rPr>
          <w:rFonts w:hint="eastAsia" w:ascii="仿宋" w:hAnsi="仿宋" w:eastAsia="仿宋"/>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szCs w:val="32"/>
        </w:rPr>
      </w:pPr>
      <w:r>
        <w:rPr>
          <w:rFonts w:hint="eastAsia" w:ascii="黑体" w:hAnsi="黑体" w:eastAsia="黑体"/>
          <w:szCs w:val="32"/>
        </w:rPr>
        <w:t>七、“三公”经费</w:t>
      </w:r>
    </w:p>
    <w:p>
      <w:pPr>
        <w:ind w:firstLine="640" w:firstLineChars="200"/>
        <w:rPr>
          <w:rFonts w:ascii="仿宋" w:hAnsi="仿宋" w:eastAsia="仿宋"/>
          <w:szCs w:val="32"/>
        </w:rPr>
      </w:pPr>
      <w:r>
        <w:rPr>
          <w:rFonts w:hint="eastAsia" w:ascii="仿宋" w:hAnsi="仿宋" w:eastAsia="仿宋"/>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p>
      <w:pPr>
        <w:ind w:firstLine="640"/>
        <w:rPr>
          <w:rFonts w:ascii="仿宋" w:hAnsi="仿宋" w:eastAsia="仿宋"/>
          <w:szCs w:val="32"/>
        </w:rPr>
      </w:pPr>
    </w:p>
    <w:p>
      <w:pPr>
        <w:widowControl/>
        <w:jc w:val="left"/>
        <w:rPr>
          <w:rFonts w:ascii="仿宋" w:hAnsi="仿宋" w:eastAsia="仿宋"/>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8C2101"/>
    <w:multiLevelType w:val="singleLevel"/>
    <w:tmpl w:val="8A8C2101"/>
    <w:lvl w:ilvl="0" w:tentative="0">
      <w:start w:val="1"/>
      <w:numFmt w:val="chineseCounting"/>
      <w:suff w:val="nothing"/>
      <w:lvlText w:val="（%1）"/>
      <w:lvlJc w:val="left"/>
      <w:pPr>
        <w:ind w:left="210" w:firstLine="0"/>
      </w:pPr>
      <w:rPr>
        <w:rFonts w:hint="eastAsia"/>
      </w:rPr>
    </w:lvl>
  </w:abstractNum>
  <w:abstractNum w:abstractNumId="1">
    <w:nsid w:val="AB1D6484"/>
    <w:multiLevelType w:val="singleLevel"/>
    <w:tmpl w:val="AB1D6484"/>
    <w:lvl w:ilvl="0" w:tentative="0">
      <w:start w:val="1"/>
      <w:numFmt w:val="chineseCounting"/>
      <w:suff w:val="nothing"/>
      <w:lvlText w:val="（%1）"/>
      <w:lvlJc w:val="left"/>
      <w:pPr>
        <w:ind w:left="210" w:firstLine="0"/>
      </w:pPr>
      <w:rPr>
        <w:rFonts w:hint="eastAsia"/>
      </w:rPr>
    </w:lvl>
  </w:abstractNum>
  <w:abstractNum w:abstractNumId="2">
    <w:nsid w:val="260EF450"/>
    <w:multiLevelType w:val="singleLevel"/>
    <w:tmpl w:val="260EF450"/>
    <w:lvl w:ilvl="0" w:tentative="0">
      <w:start w:val="1"/>
      <w:numFmt w:val="decimal"/>
      <w:lvlText w:val="%1."/>
      <w:lvlJc w:val="left"/>
      <w:pPr>
        <w:tabs>
          <w:tab w:val="left" w:pos="312"/>
        </w:tabs>
        <w:ind w:left="525" w:firstLine="0"/>
      </w:pPr>
    </w:lvl>
  </w:abstractNum>
  <w:abstractNum w:abstractNumId="3">
    <w:nsid w:val="7C9E046D"/>
    <w:multiLevelType w:val="singleLevel"/>
    <w:tmpl w:val="7C9E046D"/>
    <w:lvl w:ilvl="0" w:tentative="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FAC"/>
    <w:rsid w:val="000B392C"/>
    <w:rsid w:val="00125FAC"/>
    <w:rsid w:val="00127F6F"/>
    <w:rsid w:val="00142574"/>
    <w:rsid w:val="00162A29"/>
    <w:rsid w:val="001852DE"/>
    <w:rsid w:val="001965F5"/>
    <w:rsid w:val="00196E05"/>
    <w:rsid w:val="001B31A3"/>
    <w:rsid w:val="001C2AC5"/>
    <w:rsid w:val="00207623"/>
    <w:rsid w:val="0024750C"/>
    <w:rsid w:val="002A397A"/>
    <w:rsid w:val="00334DFB"/>
    <w:rsid w:val="00377211"/>
    <w:rsid w:val="003838FD"/>
    <w:rsid w:val="003C0C15"/>
    <w:rsid w:val="0040254D"/>
    <w:rsid w:val="004A3479"/>
    <w:rsid w:val="004E79D5"/>
    <w:rsid w:val="0051511D"/>
    <w:rsid w:val="00583109"/>
    <w:rsid w:val="005C4BFD"/>
    <w:rsid w:val="005E427E"/>
    <w:rsid w:val="0060448E"/>
    <w:rsid w:val="00612ECF"/>
    <w:rsid w:val="0077534F"/>
    <w:rsid w:val="007C5FD2"/>
    <w:rsid w:val="007F7C04"/>
    <w:rsid w:val="00845860"/>
    <w:rsid w:val="008A08E8"/>
    <w:rsid w:val="008A2F34"/>
    <w:rsid w:val="008D7DD2"/>
    <w:rsid w:val="008E57A8"/>
    <w:rsid w:val="00903634"/>
    <w:rsid w:val="00925F66"/>
    <w:rsid w:val="00975602"/>
    <w:rsid w:val="00976444"/>
    <w:rsid w:val="009A1FE2"/>
    <w:rsid w:val="00A02B5D"/>
    <w:rsid w:val="00AA4198"/>
    <w:rsid w:val="00B62460"/>
    <w:rsid w:val="00BC0D2F"/>
    <w:rsid w:val="00C15DCD"/>
    <w:rsid w:val="00C56A03"/>
    <w:rsid w:val="00D56ECE"/>
    <w:rsid w:val="00D64A8C"/>
    <w:rsid w:val="00D74846"/>
    <w:rsid w:val="00DA4FD4"/>
    <w:rsid w:val="00DF06AF"/>
    <w:rsid w:val="00E56EAF"/>
    <w:rsid w:val="00E72D14"/>
    <w:rsid w:val="00F34146"/>
    <w:rsid w:val="00F44A06"/>
    <w:rsid w:val="00F730CC"/>
    <w:rsid w:val="00F97444"/>
    <w:rsid w:val="00FC2311"/>
    <w:rsid w:val="00FD4637"/>
    <w:rsid w:val="00FE26A6"/>
    <w:rsid w:val="01A454B8"/>
    <w:rsid w:val="02A950BE"/>
    <w:rsid w:val="061B28E6"/>
    <w:rsid w:val="071A6337"/>
    <w:rsid w:val="0A9B0EB2"/>
    <w:rsid w:val="0CF46E7F"/>
    <w:rsid w:val="11B05727"/>
    <w:rsid w:val="12034F00"/>
    <w:rsid w:val="156A56F9"/>
    <w:rsid w:val="19991150"/>
    <w:rsid w:val="1A913F04"/>
    <w:rsid w:val="2098027E"/>
    <w:rsid w:val="257F486A"/>
    <w:rsid w:val="2A9F7561"/>
    <w:rsid w:val="42230A07"/>
    <w:rsid w:val="4C324602"/>
    <w:rsid w:val="537D4091"/>
    <w:rsid w:val="55726245"/>
    <w:rsid w:val="57F912AA"/>
    <w:rsid w:val="61BA0B05"/>
    <w:rsid w:val="6C4E7C19"/>
    <w:rsid w:val="6D8B519B"/>
    <w:rsid w:val="71256293"/>
    <w:rsid w:val="76554D77"/>
    <w:rsid w:val="7B705200"/>
    <w:rsid w:val="7FE435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2"/>
      <w:lang w:val="en-US" w:eastAsia="zh-CN" w:bidi="ar-SA"/>
    </w:rPr>
  </w:style>
  <w:style w:type="paragraph" w:styleId="2">
    <w:name w:val="heading 1"/>
    <w:basedOn w:val="1"/>
    <w:next w:val="1"/>
    <w:link w:val="9"/>
    <w:qFormat/>
    <w:uiPriority w:val="9"/>
    <w:pPr>
      <w:jc w:val="center"/>
      <w:outlineLvl w:val="0"/>
    </w:pPr>
    <w:rPr>
      <w:rFonts w:ascii="方正小标宋_GBK" w:eastAsia="方正小标宋_GBK"/>
      <w:sz w:val="4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标题 1 字符"/>
    <w:basedOn w:val="8"/>
    <w:link w:val="2"/>
    <w:qFormat/>
    <w:uiPriority w:val="9"/>
    <w:rPr>
      <w:rFonts w:ascii="方正小标宋_GBK" w:eastAsia="方正小标宋_GBK"/>
      <w:sz w:val="44"/>
    </w:rPr>
  </w:style>
  <w:style w:type="character" w:customStyle="1" w:styleId="10">
    <w:name w:val="页眉 字符"/>
    <w:basedOn w:val="8"/>
    <w:link w:val="5"/>
    <w:qFormat/>
    <w:uiPriority w:val="99"/>
    <w:rPr>
      <w:rFonts w:ascii="仿宋_GB2312" w:eastAsia="仿宋_GB2312"/>
      <w:sz w:val="18"/>
      <w:szCs w:val="18"/>
    </w:rPr>
  </w:style>
  <w:style w:type="character" w:customStyle="1" w:styleId="11">
    <w:name w:val="页脚 字符"/>
    <w:basedOn w:val="8"/>
    <w:link w:val="4"/>
    <w:qFormat/>
    <w:uiPriority w:val="99"/>
    <w:rPr>
      <w:rFonts w:ascii="仿宋_GB2312" w:eastAsia="仿宋_GB2312"/>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8"/>
    <w:link w:val="3"/>
    <w:semiHidden/>
    <w:uiPriority w:val="99"/>
    <w:rPr>
      <w:rFonts w:ascii="仿宋_GB2312" w:eastAsia="仿宋_GB231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568</Words>
  <Characters>3244</Characters>
  <Lines>27</Lines>
  <Paragraphs>7</Paragraphs>
  <TotalTime>1</TotalTime>
  <ScaleCrop>false</ScaleCrop>
  <LinksUpToDate>false</LinksUpToDate>
  <CharactersWithSpaces>3805</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2020-03-03T01:56:00Z</dcterms:created>
  <dc:creator>ys-pc</dc:creator>
  <cp:lastModifiedBy>Administrator</cp:lastModifiedBy>
  <cp:lastPrinted>2020-07-07T09:18:00Z</cp:lastPrinted>
  <dcterms:modified xsi:type="dcterms:W3CDTF">2020-12-14T07:40:22Z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