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濮阳市华龙区市场监督管理局</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附件：濮阳市华龙区市场监督管理局2020年部门预算表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ind w:firstLine="640" w:firstLineChars="200"/>
        <w:rPr>
          <w:rFonts w:ascii="仿宋" w:hAnsi="仿宋" w:eastAsia="仿宋"/>
          <w:szCs w:val="32"/>
        </w:rPr>
      </w:pPr>
      <w:r>
        <w:rPr>
          <w:rFonts w:hint="eastAsia" w:ascii="仿宋" w:hAnsi="仿宋" w:eastAsia="仿宋"/>
          <w:szCs w:val="32"/>
        </w:rPr>
        <w:t>华龙区市场监督管理局贯彻落实党中央关于市场监督管理工作的方针政策和决策部署，在履行职责过程中坚持和加强党对市场监督管理工作的集中统一领导。主要职责是:</w:t>
      </w:r>
    </w:p>
    <w:p>
      <w:pPr>
        <w:numPr>
          <w:ilvl w:val="0"/>
          <w:numId w:val="1"/>
        </w:numPr>
        <w:tabs>
          <w:tab w:val="left" w:pos="0"/>
        </w:tabs>
        <w:ind w:firstLine="640" w:firstLineChars="200"/>
        <w:rPr>
          <w:rFonts w:ascii="仿宋" w:hAnsi="仿宋" w:eastAsia="仿宋"/>
          <w:szCs w:val="32"/>
        </w:rPr>
      </w:pPr>
      <w:r>
        <w:rPr>
          <w:rFonts w:hint="eastAsia" w:ascii="仿宋" w:hAnsi="仿宋" w:eastAsia="仿宋"/>
          <w:szCs w:val="32"/>
        </w:rPr>
        <w:t>负责全区市场综合监督管理和知识产权管理。起草市场监督管理和知识产权有关规范性文件草案。制定有关政策、标准、组织实施质量强区战略、食品药品安全战略、标准化战略、知识产权战略。拟订并组织实施有关规划，规范和维护市场秩序，营造诚实守信、公平竞争的市场环境。</w:t>
      </w:r>
    </w:p>
    <w:p>
      <w:pPr>
        <w:numPr>
          <w:ilvl w:val="0"/>
          <w:numId w:val="1"/>
        </w:numPr>
        <w:ind w:firstLine="640" w:firstLineChars="200"/>
        <w:rPr>
          <w:rFonts w:ascii="仿宋" w:hAnsi="仿宋" w:eastAsia="仿宋"/>
          <w:szCs w:val="32"/>
        </w:rPr>
      </w:pPr>
      <w:r>
        <w:rPr>
          <w:rFonts w:hint="eastAsia" w:ascii="仿宋" w:hAnsi="仿宋" w:eastAsia="仿宋"/>
          <w:szCs w:val="32"/>
        </w:rPr>
        <w:t>负责全区市场主体统一登记注册。负责全区各类企业、农民专业合作社和从事经营活动的单位、个体工商户等市场主体的登记注册工作，建立市场主体信息公示和共享机制，依法公示和共享有关信息，加强信用监管，推动市场主体信用建设。</w:t>
      </w:r>
    </w:p>
    <w:p>
      <w:pPr>
        <w:numPr>
          <w:ilvl w:val="0"/>
          <w:numId w:val="1"/>
        </w:numPr>
        <w:ind w:firstLine="640" w:firstLineChars="200"/>
        <w:rPr>
          <w:rFonts w:ascii="仿宋" w:hAnsi="仿宋" w:eastAsia="仿宋"/>
          <w:szCs w:val="32"/>
        </w:rPr>
      </w:pPr>
      <w:r>
        <w:rPr>
          <w:rFonts w:hint="eastAsia" w:ascii="仿宋" w:hAnsi="仿宋" w:eastAsia="仿宋"/>
          <w:szCs w:val="32"/>
        </w:rPr>
        <w:t>负责组织全区市场监管和知识产权综合执法工作、负责全区市场监管综合执法队伍建设。推动实行统一的市场监管、组织查处重大案件。规范市场监管和知识产权行政执法行为。指导和监督全区打击制售假冒伪劣商品违法行为工作，组织协调全区专项打假活动。</w:t>
      </w:r>
    </w:p>
    <w:p>
      <w:pPr>
        <w:numPr>
          <w:ilvl w:val="0"/>
          <w:numId w:val="1"/>
        </w:numPr>
        <w:ind w:firstLine="640" w:firstLineChars="200"/>
        <w:rPr>
          <w:rFonts w:ascii="仿宋" w:hAnsi="仿宋" w:eastAsia="仿宋"/>
          <w:szCs w:val="32"/>
        </w:rPr>
      </w:pPr>
      <w:r>
        <w:rPr>
          <w:rFonts w:hint="eastAsia" w:ascii="仿宋" w:hAnsi="仿宋" w:eastAsia="仿宋"/>
          <w:szCs w:val="32"/>
        </w:rPr>
        <w:t>负责监督管理市场秩序。依法监督管理市场交易、网络商品交易及有关服务的行为。依法查处价格收费违法违规、不正当竞争、违法直销、传销、侵犯商标专利知识产权和制售假冒伪劣行为。配合开展垄断协议、滥用市场支配地位和滥用行政权力排除、限制竞争行为的调查工作。指导广告业发展，监督管理广告活动。负责全区市场监管相关安全生产工作。查处无照生产经营和相关无证生产经营行为。拟订全区消费者权益保护的具体措施，指导华龙区消费者协会开展消费维权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宏观质量管理、拟订并实施质量发展的制度措施。推动质量强区有关工作，完善质量激励制度，推动品牌建设。统筹全区质量基础设施建设与应用，负责质量事故调查，检测服务质量，建立并统一实施缺陷产品召回制度，监督管理产品防伪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产品质量安全监督管理。组织实施产品质量安全风险监控和监督抽查工作，组织实施质量分级制度、质量安全追溯制度，根据授权，全区工业产品生产许可管理工作。负责全区纤维质量监督工作；负责核发相关特种设备使用登记证书。</w:t>
      </w:r>
    </w:p>
    <w:p>
      <w:pPr>
        <w:numPr>
          <w:ilvl w:val="0"/>
          <w:numId w:val="1"/>
        </w:numPr>
        <w:ind w:firstLine="640" w:firstLineChars="200"/>
        <w:rPr>
          <w:rFonts w:ascii="仿宋" w:hAnsi="仿宋" w:eastAsia="仿宋"/>
          <w:szCs w:val="32"/>
        </w:rPr>
      </w:pPr>
      <w:r>
        <w:rPr>
          <w:rFonts w:hint="eastAsia" w:ascii="仿宋" w:hAnsi="仿宋" w:eastAsia="仿宋"/>
          <w:szCs w:val="32"/>
        </w:rPr>
        <w:t>负责全区特种设备安全监督管理。综合管理特种设备安全监察、监督工作，监督检查高耗能特种设备节能标准和锅炉环境保护标准的执行情况。组织指导特种设备安全事故调查工作。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食品、药品等安全监督管理综合协调。统等指导全区食品、药品等安全工作。负责食品、药品安全应急体系建设，组织指导重大食品、药品安全事件应急处置和调查处理工作。建立健全食品安全重要信息直报制度。承担华龙区政府食品安全委员会的日常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食品安全监督管理。建立覆盖全区食品生产、流通、消费全过程的监督检查制度和隐患排查治理机制并组织实施，防范区域性、系统性食品安全风险。推动建立食品生产经营者落实主体责任的机制，健全食品安全追溯体系。组织开展全区食品及相关产品安全监督抽检、风险监测、核查处置和风险预警、风险交流工作。组织实施全区特殊食品监督管理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药品(含中药、民族药)安全监督管理。监督实施国家药品标准和分类管理制度，配合有关部门实施国家基本药物制度。监督和指导实施药品零售、使用质量管理规范。推动建立药品零售、使用单位落实主体责任的机制，指导建立健全药品安全追溯体系。组织实施药品流通和药品使用环节质量的检查、处罚，组织实施药品质量抽查检验，组织实施药品召回的监督管理工作。组织开展药品不良反应监测和处置工作。负责药物滥用监测工作。依法承担药品安全风险监测和应急管理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医疗器械安全监督管理。监督实施国家医疗器械标准和分类管理制度。监督和指导实施医疗器械经营、使用质量管理规范。推动建立医疗器械经营、使用单位落实主体责任的机制，指导建立健全医疗器械安全追溯体系。组织实施医疗器械经营许可和医疗器械经营、使用环节质量的检查和处罚，组织实医疗器械质量抽查检验。组织实施医疗器械问题产品召回的监督管理工作，组织开展医疗器械不良事件监测和处置工作。依法承担医疗器械安全风险监测和应急管理工作。</w:t>
      </w:r>
    </w:p>
    <w:p>
      <w:pPr>
        <w:numPr>
          <w:ilvl w:val="0"/>
          <w:numId w:val="1"/>
        </w:numPr>
        <w:ind w:firstLine="640" w:firstLineChars="200"/>
        <w:rPr>
          <w:rFonts w:ascii="仿宋" w:hAnsi="仿宋" w:eastAsia="仿宋"/>
          <w:szCs w:val="32"/>
        </w:rPr>
      </w:pPr>
      <w:r>
        <w:rPr>
          <w:rFonts w:hint="eastAsia" w:ascii="仿宋" w:hAnsi="仿宋" w:eastAsia="仿宋"/>
          <w:szCs w:val="32"/>
        </w:rPr>
        <w:t>负责全区化妆品安全监督管理。监督实施国家化妆品标准和分类管理制度，监督实施化妆品相关质量管理规定。推动建立化妆品经营企业落实主体责任的机制，指导建立健全化妆品安全追溯体系。组织实施化妆品经营环节质量的监督检查和行政执法工作。组织实施化妆品质量抽查检验。组织实施化妆品问题产品召回的监督管理工作。组织开展化妆品不良反应监测和处置工作。依法承担化妆品安全风险监测和应急管理工作。</w:t>
      </w:r>
    </w:p>
    <w:p>
      <w:pPr>
        <w:numPr>
          <w:ilvl w:val="0"/>
          <w:numId w:val="1"/>
        </w:numPr>
        <w:ind w:firstLine="640" w:firstLineChars="200"/>
        <w:rPr>
          <w:rFonts w:ascii="仿宋" w:hAnsi="仿宋" w:eastAsia="仿宋"/>
          <w:szCs w:val="32"/>
        </w:rPr>
      </w:pPr>
      <w:r>
        <w:rPr>
          <w:rFonts w:hint="eastAsia" w:ascii="仿宋" w:hAnsi="仿宋" w:eastAsia="仿宋"/>
          <w:szCs w:val="32"/>
        </w:rPr>
        <w:t>负责统一管理全区计量工作。执行国家计量制度，推行法定的计量单位，依职责管理计量器具及量值传递和比对工作。推进工业、服务业计量现代化。规范、监督商品量和市场计量行为。</w:t>
      </w:r>
    </w:p>
    <w:p>
      <w:pPr>
        <w:numPr>
          <w:ilvl w:val="0"/>
          <w:numId w:val="1"/>
        </w:numPr>
        <w:ind w:firstLine="640" w:firstLineChars="200"/>
        <w:rPr>
          <w:rFonts w:ascii="仿宋" w:hAnsi="仿宋" w:eastAsia="仿宋"/>
          <w:szCs w:val="32"/>
        </w:rPr>
      </w:pPr>
      <w:r>
        <w:rPr>
          <w:rFonts w:hint="eastAsia" w:ascii="仿宋" w:hAnsi="仿宋" w:eastAsia="仿宋"/>
          <w:szCs w:val="32"/>
        </w:rPr>
        <w:t>负责统一管理全区标准化工作。推进标准化战略，依法协调指导和监督地方标准，团体标准、企业标准制修定工作。管理全区商品条码工作。</w:t>
      </w:r>
    </w:p>
    <w:p>
      <w:pPr>
        <w:numPr>
          <w:ilvl w:val="0"/>
          <w:numId w:val="1"/>
        </w:numPr>
        <w:ind w:firstLine="640" w:firstLineChars="200"/>
        <w:rPr>
          <w:rFonts w:ascii="仿宋" w:hAnsi="仿宋" w:eastAsia="仿宋"/>
          <w:szCs w:val="32"/>
        </w:rPr>
      </w:pPr>
      <w:r>
        <w:rPr>
          <w:rFonts w:hint="eastAsia" w:ascii="仿宋" w:hAnsi="仿宋" w:eastAsia="仿宋"/>
          <w:szCs w:val="32"/>
        </w:rPr>
        <w:t>负责监督管理全区检验检测工作。实施全区检验检测工作制度并组织实施，推进检验检测机构改革，规范检验检测市场，完善检验检测体系，推动检验检测能力建设，指导协调检验检测行业发展。</w:t>
      </w:r>
    </w:p>
    <w:p>
      <w:pPr>
        <w:numPr>
          <w:ilvl w:val="0"/>
          <w:numId w:val="1"/>
        </w:numPr>
        <w:ind w:firstLine="640" w:firstLineChars="200"/>
        <w:rPr>
          <w:rFonts w:ascii="仿宋" w:hAnsi="仿宋" w:eastAsia="仿宋"/>
          <w:szCs w:val="32"/>
        </w:rPr>
      </w:pPr>
      <w:r>
        <w:rPr>
          <w:rFonts w:hint="eastAsia" w:ascii="仿宋" w:hAnsi="仿宋" w:eastAsia="仿宋"/>
          <w:szCs w:val="32"/>
        </w:rPr>
        <w:t>负责监督管理、监督和综合协调全区认证认可工作。组织实施国家统一的认证认可和合格评定监督管理制度。</w:t>
      </w:r>
    </w:p>
    <w:p>
      <w:pPr>
        <w:numPr>
          <w:ilvl w:val="0"/>
          <w:numId w:val="1"/>
        </w:numPr>
        <w:ind w:firstLine="640" w:firstLineChars="200"/>
        <w:rPr>
          <w:rFonts w:ascii="仿宋" w:hAnsi="仿宋" w:eastAsia="仿宋"/>
          <w:szCs w:val="32"/>
        </w:rPr>
      </w:pPr>
      <w:r>
        <w:rPr>
          <w:rFonts w:hint="eastAsia" w:ascii="仿宋" w:hAnsi="仿宋" w:eastAsia="仿宋"/>
          <w:szCs w:val="32"/>
        </w:rPr>
        <w:t>负责全区知识产权监督管理和保护运用。拟订实施知识产权创造、保护、运用和交易运营的政策、规划建设完善知识产权保护体系、公共服务体系，指导商标专利执法，保护知识产权，促进知识产权创造和运用。</w:t>
      </w:r>
    </w:p>
    <w:p>
      <w:pPr>
        <w:numPr>
          <w:ilvl w:val="0"/>
          <w:numId w:val="1"/>
        </w:numPr>
        <w:ind w:firstLine="640" w:firstLineChars="200"/>
        <w:rPr>
          <w:rFonts w:ascii="仿宋" w:hAnsi="仿宋" w:eastAsia="仿宋"/>
          <w:szCs w:val="32"/>
        </w:rPr>
      </w:pPr>
      <w:r>
        <w:rPr>
          <w:rFonts w:hint="eastAsia" w:ascii="仿宋" w:hAnsi="仿宋" w:eastAsia="仿宋"/>
          <w:szCs w:val="32"/>
        </w:rPr>
        <w:t>负责市场监督管理科技和信息化建设、新闻宣传、对外交流与合作。按规定承担技术性贸易措施有关工作。</w:t>
      </w:r>
    </w:p>
    <w:p>
      <w:pPr>
        <w:numPr>
          <w:ilvl w:val="0"/>
          <w:numId w:val="1"/>
        </w:numPr>
        <w:ind w:firstLine="640" w:firstLineChars="200"/>
        <w:rPr>
          <w:rFonts w:ascii="仿宋" w:hAnsi="仿宋" w:eastAsia="仿宋"/>
          <w:szCs w:val="32"/>
        </w:rPr>
      </w:pPr>
      <w:r>
        <w:rPr>
          <w:rFonts w:hint="eastAsia" w:ascii="仿宋" w:hAnsi="仿宋" w:eastAsia="仿宋"/>
          <w:szCs w:val="32"/>
        </w:rPr>
        <w:t>负责促进全区非公有制经济发展，指导、协调全区市场监督管理系统开展小微企业、个体工商户、专业市场党建工作。</w:t>
      </w:r>
    </w:p>
    <w:p>
      <w:pPr>
        <w:numPr>
          <w:ilvl w:val="0"/>
          <w:numId w:val="1"/>
        </w:numPr>
        <w:ind w:firstLine="640" w:firstLineChars="200"/>
        <w:rPr>
          <w:rFonts w:ascii="仿宋" w:hAnsi="仿宋" w:eastAsia="仿宋"/>
          <w:szCs w:val="32"/>
        </w:rPr>
      </w:pPr>
      <w:r>
        <w:rPr>
          <w:rFonts w:hint="eastAsia" w:ascii="仿宋" w:hAnsi="仿宋" w:eastAsia="仿宋"/>
          <w:szCs w:val="32"/>
        </w:rPr>
        <w:t>完成区委、区政府交办的其他任务。</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华龙区市场监督管理局内设办公室（行政股）、消费者权益保护股（应急管理股）、宣传教育股、法规股、登记注册股、价格监督检查股等24个职能股室，下设有11个乡镇办市场监督管理所，为区市场监督管理局的派出机构。本部门无独立核算的下属预算单位，部门本级预算即汇总预算。</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20年本部门预算收入总计834.88万元，支出总计834.88万元。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20年本部门预算收入总计834.88万元，支出总计834.88万元。其中：基本支出607.39万元，占比72.75%，项目支出227.49万元，占比27.25%。</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较上年减少15.25万元，减少1.79</w:t>
      </w:r>
      <w:r>
        <w:rPr>
          <w:rFonts w:ascii="仿宋" w:hAnsi="仿宋" w:eastAsia="仿宋"/>
          <w:szCs w:val="32"/>
        </w:rPr>
        <w:t>%</w:t>
      </w:r>
      <w:r>
        <w:rPr>
          <w:rFonts w:hint="eastAsia" w:ascii="仿宋" w:hAnsi="仿宋" w:eastAsia="仿宋"/>
          <w:szCs w:val="32"/>
        </w:rPr>
        <w:t>，主要原因由于按照厉行节约有关要求，压减一般性支出、严控专项经费支出，以及一次性、临时性项目支出的减少。</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607.39万元，其中：人员经费578.59万元，主要包括：基本工资、绩效工资、机关事业单位基本养老保险缴费、医疗保险缴费、其他社会保障缴费、住房公积金、退休费、抚恤金；公用经费28.8万元，主要包括：办公费、公务用车运行维护费、其他商品和服务支出等。</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28.8万元，主要用于保障机关机构正常运转及正常履职需要的办公费、“三公”经费、其他商品服务支出，比上年减少2.8万元，减少8.86%，主要原因是深入贯彻落实中央八项规定和厉行节约有关精神。</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20年本部门“三公”经费预算13万元，和上年持平，主要原因是公车数量固定，运行维护成本固定，以及我局严格执行相关规定，厉行勤俭节约，无故不得增加“三公”经费支出。</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2.公务用车购置及运行费13万元，其中：公务用车购置0万元，公务用车运行费13万元。</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hint="eastAsia" w:ascii="仿宋" w:hAnsi="仿宋" w:eastAsia="仿宋"/>
          <w:szCs w:val="32"/>
        </w:rPr>
        <w:t>2020年本部门拟安排政府采购预算4万元，其中：政府采购货物支出0万元、政府采购服务支出4万元。具体采购明细如下：</w:t>
      </w:r>
    </w:p>
    <w:p>
      <w:pPr>
        <w:ind w:firstLine="640" w:firstLineChars="200"/>
        <w:rPr>
          <w:rFonts w:ascii="仿宋" w:hAnsi="仿宋" w:eastAsia="仿宋"/>
          <w:szCs w:val="32"/>
        </w:rPr>
      </w:pPr>
      <w:r>
        <w:rPr>
          <w:rFonts w:hint="eastAsia" w:ascii="仿宋" w:hAnsi="仿宋" w:eastAsia="仿宋"/>
          <w:szCs w:val="32"/>
        </w:rPr>
        <w:t>1.政府购买服务工作人员，1批1人，共计4万元。</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cs="Times New Roman"/>
          <w:sz w:val="32"/>
          <w:szCs w:val="32"/>
        </w:rPr>
      </w:pPr>
      <w:r>
        <w:rPr>
          <w:rFonts w:hint="eastAsia" w:ascii="仿宋" w:hAnsi="仿宋" w:eastAsia="仿宋" w:cs="仿宋"/>
          <w:sz w:val="32"/>
          <w:szCs w:val="32"/>
        </w:rPr>
        <w:t>本部门无政府性基金预算</w:t>
      </w:r>
      <w:r>
        <w:rPr>
          <w:rFonts w:hint="eastAsia" w:ascii="仿宋" w:hAnsi="仿宋" w:eastAsia="仿宋" w:cs="仿宋"/>
          <w:sz w:val="32"/>
          <w:szCs w:val="32"/>
          <w:lang w:val="en-US" w:eastAsia="zh-CN"/>
        </w:rPr>
        <w:t>收支</w:t>
      </w:r>
      <w:r>
        <w:rPr>
          <w:rFonts w:hint="eastAsia" w:ascii="仿宋" w:hAnsi="仿宋" w:eastAsia="仿宋" w:cs="仿宋"/>
          <w:sz w:val="32"/>
          <w:szCs w:val="32"/>
        </w:rPr>
        <w:t>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r>
        <w:rPr>
          <w:rFonts w:hint="eastAsia" w:ascii="仿宋" w:hAnsi="仿宋" w:eastAsia="仿宋" w:cs="仿宋"/>
          <w:sz w:val="32"/>
          <w:szCs w:val="32"/>
        </w:rPr>
        <w:t>。</w:t>
      </w:r>
    </w:p>
    <w:p>
      <w:pPr>
        <w:ind w:firstLine="640" w:firstLineChars="200"/>
        <w:rPr>
          <w:rFonts w:ascii="黑体" w:hAnsi="黑体" w:eastAsia="黑体"/>
          <w:szCs w:val="32"/>
        </w:rPr>
      </w:pPr>
      <w:bookmarkStart w:id="0" w:name="_GoBack"/>
      <w:bookmarkEnd w:id="0"/>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w:t>
      </w:r>
      <w:r>
        <w:rPr>
          <w:rFonts w:hint="eastAsia" w:ascii="仿宋" w:hAnsi="仿宋" w:eastAsia="仿宋"/>
          <w:szCs w:val="32"/>
        </w:rPr>
        <w:t>19年末，本部门共有：房屋建筑物1058平方，车辆15辆，其中：一般公务用车0辆、一般执法执勤用车14辆、特种专业技术用车1辆，其他用车0辆；单位价值</w:t>
      </w:r>
      <w:r>
        <w:rPr>
          <w:rFonts w:ascii="仿宋" w:hAnsi="仿宋" w:eastAsia="仿宋"/>
          <w:szCs w:val="32"/>
        </w:rPr>
        <w:t>50</w:t>
      </w:r>
      <w:r>
        <w:rPr>
          <w:rFonts w:hint="eastAsia" w:ascii="仿宋" w:hAnsi="仿宋" w:eastAsia="仿宋"/>
          <w:szCs w:val="32"/>
        </w:rPr>
        <w:t>万元以上通用设备1台（套），单位价值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8个项目，56万元，并将以此为基础开展后续预算绩效管理工作，努力建立健全以结果为导向的预算绩效管理工作机制。</w:t>
      </w:r>
    </w:p>
    <w:p>
      <w:pPr>
        <w:ind w:firstLine="640" w:firstLineChars="200"/>
        <w:rPr>
          <w:rFonts w:ascii="黑体" w:hAnsi="黑体" w:eastAsia="黑体"/>
          <w:szCs w:val="32"/>
        </w:rPr>
      </w:pPr>
    </w:p>
    <w:p>
      <w:pPr>
        <w:widowControl/>
        <w:jc w:val="left"/>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92C3B1"/>
    <w:multiLevelType w:val="singleLevel"/>
    <w:tmpl w:val="D992C3B1"/>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1E2770"/>
    <w:rsid w:val="00207623"/>
    <w:rsid w:val="0024750C"/>
    <w:rsid w:val="002A397A"/>
    <w:rsid w:val="00334DFB"/>
    <w:rsid w:val="00377211"/>
    <w:rsid w:val="003838FD"/>
    <w:rsid w:val="003C0C15"/>
    <w:rsid w:val="004A3479"/>
    <w:rsid w:val="004E79D5"/>
    <w:rsid w:val="0051511D"/>
    <w:rsid w:val="005326CF"/>
    <w:rsid w:val="00583109"/>
    <w:rsid w:val="005C4BFD"/>
    <w:rsid w:val="005E0F20"/>
    <w:rsid w:val="005E427E"/>
    <w:rsid w:val="0060448E"/>
    <w:rsid w:val="00612ECF"/>
    <w:rsid w:val="00786564"/>
    <w:rsid w:val="007C5FD2"/>
    <w:rsid w:val="00845860"/>
    <w:rsid w:val="008A08E8"/>
    <w:rsid w:val="008A2F34"/>
    <w:rsid w:val="008D7DD2"/>
    <w:rsid w:val="008E57A8"/>
    <w:rsid w:val="00925F66"/>
    <w:rsid w:val="00975602"/>
    <w:rsid w:val="00976444"/>
    <w:rsid w:val="009A1FE2"/>
    <w:rsid w:val="00A02B5D"/>
    <w:rsid w:val="00AB22C1"/>
    <w:rsid w:val="00B56AF3"/>
    <w:rsid w:val="00B62460"/>
    <w:rsid w:val="00BC0D2F"/>
    <w:rsid w:val="00C15DCD"/>
    <w:rsid w:val="00C56A03"/>
    <w:rsid w:val="00D56ECE"/>
    <w:rsid w:val="00DA4FD4"/>
    <w:rsid w:val="00DF06AF"/>
    <w:rsid w:val="00E56EAF"/>
    <w:rsid w:val="00E72D14"/>
    <w:rsid w:val="00F34146"/>
    <w:rsid w:val="00F97444"/>
    <w:rsid w:val="00FC2311"/>
    <w:rsid w:val="00FD4637"/>
    <w:rsid w:val="00FE26A6"/>
    <w:rsid w:val="035C6D5D"/>
    <w:rsid w:val="03E12699"/>
    <w:rsid w:val="0717793D"/>
    <w:rsid w:val="0E510804"/>
    <w:rsid w:val="0FF1348A"/>
    <w:rsid w:val="1250212D"/>
    <w:rsid w:val="12846DBD"/>
    <w:rsid w:val="139366E9"/>
    <w:rsid w:val="18665788"/>
    <w:rsid w:val="19321297"/>
    <w:rsid w:val="1BF02793"/>
    <w:rsid w:val="1E2755D4"/>
    <w:rsid w:val="1F694452"/>
    <w:rsid w:val="201C13F2"/>
    <w:rsid w:val="208C7482"/>
    <w:rsid w:val="20B748B0"/>
    <w:rsid w:val="23964DD2"/>
    <w:rsid w:val="24C50ABB"/>
    <w:rsid w:val="26975416"/>
    <w:rsid w:val="27D6019D"/>
    <w:rsid w:val="2943489B"/>
    <w:rsid w:val="2CA0713A"/>
    <w:rsid w:val="2DF90E03"/>
    <w:rsid w:val="2F6B5857"/>
    <w:rsid w:val="312C03D5"/>
    <w:rsid w:val="3164107C"/>
    <w:rsid w:val="34BE1B93"/>
    <w:rsid w:val="36B95B3E"/>
    <w:rsid w:val="37714C27"/>
    <w:rsid w:val="383C7A16"/>
    <w:rsid w:val="3C3E505E"/>
    <w:rsid w:val="3CC360AE"/>
    <w:rsid w:val="3D756188"/>
    <w:rsid w:val="50F47ABF"/>
    <w:rsid w:val="51970BCB"/>
    <w:rsid w:val="51F06802"/>
    <w:rsid w:val="537D4091"/>
    <w:rsid w:val="5A1502C3"/>
    <w:rsid w:val="5A6C65E5"/>
    <w:rsid w:val="5D14568A"/>
    <w:rsid w:val="629E55E9"/>
    <w:rsid w:val="62B4471C"/>
    <w:rsid w:val="691A57CF"/>
    <w:rsid w:val="6C070E67"/>
    <w:rsid w:val="6D785AD2"/>
    <w:rsid w:val="6E333A52"/>
    <w:rsid w:val="72366158"/>
    <w:rsid w:val="754E4D4E"/>
    <w:rsid w:val="7B1927C8"/>
    <w:rsid w:val="7BE97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670</Words>
  <Characters>3824</Characters>
  <Lines>31</Lines>
  <Paragraphs>8</Paragraphs>
  <TotalTime>0</TotalTime>
  <ScaleCrop>false</ScaleCrop>
  <LinksUpToDate>false</LinksUpToDate>
  <CharactersWithSpaces>4486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Administrator</cp:lastModifiedBy>
  <cp:lastPrinted>2020-03-03T07:59:00Z</cp:lastPrinted>
  <dcterms:modified xsi:type="dcterms:W3CDTF">2020-12-14T07:40:15Z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