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方正小标宋_GBK" w:eastAsia="方正小标宋_GBK"/>
          <w:color w:val="000000" w:themeColor="text1"/>
          <w:sz w:val="40"/>
          <w14:textFill>
            <w14:solidFill>
              <w14:schemeClr w14:val="tx1"/>
            </w14:solidFill>
          </w14:textFill>
        </w:rPr>
      </w:pPr>
    </w:p>
    <w:p>
      <w:pPr>
        <w:rPr>
          <w:rFonts w:ascii="方正小标宋_GBK" w:eastAsia="方正小标宋_GBK"/>
          <w:color w:val="000000" w:themeColor="text1"/>
          <w:sz w:val="40"/>
          <w14:textFill>
            <w14:solidFill>
              <w14:schemeClr w14:val="tx1"/>
            </w14:solidFill>
          </w14:textFill>
        </w:rPr>
      </w:pPr>
    </w:p>
    <w:p>
      <w:pPr>
        <w:jc w:val="center"/>
        <w:rPr>
          <w:rFonts w:ascii="方正小标宋_GBK" w:eastAsia="方正小标宋_GBK"/>
          <w:color w:val="000000" w:themeColor="text1"/>
          <w:w w:val="85"/>
          <w:sz w:val="56"/>
          <w14:textFill>
            <w14:solidFill>
              <w14:schemeClr w14:val="tx1"/>
            </w14:solidFill>
          </w14:textFill>
        </w:rPr>
      </w:pPr>
      <w:r>
        <w:rPr>
          <w:rFonts w:hint="eastAsia" w:ascii="方正小标宋_GBK" w:eastAsia="方正小标宋_GBK"/>
          <w:color w:val="000000" w:themeColor="text1"/>
          <w:w w:val="85"/>
          <w:sz w:val="56"/>
          <w14:textFill>
            <w14:solidFill>
              <w14:schemeClr w14:val="tx1"/>
            </w14:solidFill>
          </w14:textFill>
        </w:rPr>
        <w:t>濮阳市华龙区人民医院</w:t>
      </w:r>
    </w:p>
    <w:p>
      <w:pPr>
        <w:ind w:firstLine="1428" w:firstLineChars="300"/>
        <w:rPr>
          <w:rFonts w:ascii="方正小标宋简体" w:hAnsi="方正小标宋简体" w:eastAsia="方正小标宋简体" w:cs="方正小标宋简体"/>
          <w:color w:val="000000" w:themeColor="text1"/>
          <w:spacing w:val="-20"/>
          <w:sz w:val="44"/>
          <w14:textFill>
            <w14:solidFill>
              <w14:schemeClr w14:val="tx1"/>
            </w14:solidFill>
          </w14:textFill>
        </w:rPr>
      </w:pPr>
      <w:r>
        <w:rPr>
          <w:rFonts w:hint="eastAsia" w:ascii="方正小标宋简体" w:hAnsi="方正小标宋简体" w:eastAsia="方正小标宋简体" w:cs="方正小标宋简体"/>
          <w:color w:val="000000" w:themeColor="text1"/>
          <w:w w:val="85"/>
          <w:sz w:val="56"/>
          <w14:textFill>
            <w14:solidFill>
              <w14:schemeClr w14:val="tx1"/>
            </w14:solidFill>
          </w14:textFill>
        </w:rPr>
        <w:t>2020年部门预算公开资料</w:t>
      </w:r>
    </w:p>
    <w:p>
      <w:pPr>
        <w:jc w:val="center"/>
        <w:rPr>
          <w:rFonts w:ascii="方正小标宋_GBK" w:eastAsia="方正小标宋_GBK"/>
          <w:color w:val="000000" w:themeColor="text1"/>
          <w:sz w:val="40"/>
          <w14:textFill>
            <w14:solidFill>
              <w14:schemeClr w14:val="tx1"/>
            </w14:solidFill>
          </w14:textFill>
        </w:rPr>
      </w:pPr>
    </w:p>
    <w:p>
      <w:pPr>
        <w:jc w:val="center"/>
        <w:rPr>
          <w:rFonts w:ascii="方正小标宋_GBK" w:eastAsia="方正小标宋_GBK"/>
          <w:color w:val="000000" w:themeColor="text1"/>
          <w:sz w:val="40"/>
          <w14:textFill>
            <w14:solidFill>
              <w14:schemeClr w14:val="tx1"/>
            </w14:solidFill>
          </w14:textFill>
        </w:rPr>
      </w:pPr>
    </w:p>
    <w:p>
      <w:pPr>
        <w:jc w:val="center"/>
        <w:rPr>
          <w:rFonts w:ascii="方正小标宋_GBK" w:eastAsia="方正小标宋_GBK"/>
          <w:color w:val="000000" w:themeColor="text1"/>
          <w:sz w:val="40"/>
          <w14:textFill>
            <w14:solidFill>
              <w14:schemeClr w14:val="tx1"/>
            </w14:solidFill>
          </w14:textFill>
        </w:rPr>
      </w:pPr>
    </w:p>
    <w:p>
      <w:pPr>
        <w:rPr>
          <w:rFonts w:ascii="方正小标宋_GBK" w:eastAsia="方正小标宋_GBK"/>
          <w:color w:val="000000" w:themeColor="text1"/>
          <w:sz w:val="40"/>
          <w14:textFill>
            <w14:solidFill>
              <w14:schemeClr w14:val="tx1"/>
            </w14:solidFill>
          </w14:textFill>
        </w:rPr>
      </w:pPr>
    </w:p>
    <w:p>
      <w:pPr>
        <w:jc w:val="center"/>
        <w:rPr>
          <w:rFonts w:ascii="方正小标宋_GBK" w:eastAsia="方正小标宋_GBK"/>
          <w:color w:val="000000" w:themeColor="text1"/>
          <w:sz w:val="40"/>
          <w14:textFill>
            <w14:solidFill>
              <w14:schemeClr w14:val="tx1"/>
            </w14:solidFill>
          </w14:textFill>
        </w:rPr>
      </w:pPr>
    </w:p>
    <w:p>
      <w:pPr>
        <w:jc w:val="center"/>
        <w:rPr>
          <w:rFonts w:ascii="方正小标宋_GBK" w:eastAsia="方正小标宋_GBK"/>
          <w:color w:val="000000" w:themeColor="text1"/>
          <w:sz w:val="40"/>
          <w14:textFill>
            <w14:solidFill>
              <w14:schemeClr w14:val="tx1"/>
            </w14:solidFill>
          </w14:textFill>
        </w:rPr>
      </w:pPr>
    </w:p>
    <w:p>
      <w:pPr>
        <w:jc w:val="center"/>
        <w:rPr>
          <w:rFonts w:ascii="方正小标宋_GBK" w:eastAsia="方正小标宋_GBK"/>
          <w:color w:val="000000" w:themeColor="text1"/>
          <w:sz w:val="40"/>
          <w14:textFill>
            <w14:solidFill>
              <w14:schemeClr w14:val="tx1"/>
            </w14:solidFill>
          </w14:textFill>
        </w:rPr>
      </w:pPr>
    </w:p>
    <w:p>
      <w:pPr>
        <w:jc w:val="center"/>
        <w:rPr>
          <w:rFonts w:ascii="方正小标宋_GBK" w:eastAsia="方正小标宋_GBK"/>
          <w:color w:val="000000" w:themeColor="text1"/>
          <w:sz w:val="40"/>
          <w14:textFill>
            <w14:solidFill>
              <w14:schemeClr w14:val="tx1"/>
            </w14:solidFill>
          </w14:textFill>
        </w:rPr>
      </w:pPr>
    </w:p>
    <w:p>
      <w:pPr>
        <w:jc w:val="center"/>
        <w:rPr>
          <w:rFonts w:ascii="方正小标宋_GBK" w:eastAsia="方正小标宋_GBK"/>
          <w:color w:val="000000" w:themeColor="text1"/>
          <w:sz w:val="40"/>
          <w14:textFill>
            <w14:solidFill>
              <w14:schemeClr w14:val="tx1"/>
            </w14:solidFill>
          </w14:textFill>
        </w:rPr>
      </w:pPr>
    </w:p>
    <w:p>
      <w:pPr>
        <w:jc w:val="center"/>
        <w:rPr>
          <w:rFonts w:ascii="方正小标宋_GBK" w:eastAsia="方正小标宋_GBK"/>
          <w:color w:val="000000" w:themeColor="text1"/>
          <w:sz w:val="40"/>
          <w14:textFill>
            <w14:solidFill>
              <w14:schemeClr w14:val="tx1"/>
            </w14:solidFill>
          </w14:textFill>
        </w:rPr>
      </w:pPr>
    </w:p>
    <w:p>
      <w:pPr>
        <w:jc w:val="center"/>
        <w:rPr>
          <w:rFonts w:ascii="方正小标宋_GBK" w:eastAsia="方正小标宋_GBK"/>
          <w:color w:val="000000" w:themeColor="text1"/>
          <w:sz w:val="40"/>
          <w14:textFill>
            <w14:solidFill>
              <w14:schemeClr w14:val="tx1"/>
            </w14:solidFill>
          </w14:textFill>
        </w:rPr>
      </w:pPr>
    </w:p>
    <w:p>
      <w:pPr>
        <w:jc w:val="center"/>
        <w:rPr>
          <w:rFonts w:ascii="方正小标宋_GBK" w:eastAsia="方正小标宋_GBK"/>
          <w:color w:val="000000" w:themeColor="text1"/>
          <w:sz w:val="40"/>
          <w14:textFill>
            <w14:solidFill>
              <w14:schemeClr w14:val="tx1"/>
            </w14:solidFill>
          </w14:textFill>
        </w:rPr>
      </w:pPr>
    </w:p>
    <w:p>
      <w:pPr>
        <w:jc w:val="center"/>
        <w:rPr>
          <w:rFonts w:ascii="方正小标宋_GBK" w:eastAsia="方正小标宋_GBK"/>
          <w:color w:val="000000" w:themeColor="text1"/>
          <w:sz w:val="40"/>
          <w14:textFill>
            <w14:solidFill>
              <w14:schemeClr w14:val="tx1"/>
            </w14:solidFill>
          </w14:textFill>
        </w:rPr>
      </w:pPr>
    </w:p>
    <w:p>
      <w:pPr>
        <w:jc w:val="center"/>
        <w:rPr>
          <w:rFonts w:ascii="楷体_GB2312" w:eastAsia="楷体_GB2312"/>
          <w:b/>
          <w:color w:val="000000" w:themeColor="text1"/>
          <w:w w:val="90"/>
          <w:sz w:val="40"/>
          <w14:textFill>
            <w14:solidFill>
              <w14:schemeClr w14:val="tx1"/>
            </w14:solidFill>
          </w14:textFill>
        </w:rPr>
      </w:pPr>
      <w:r>
        <w:rPr>
          <w:rFonts w:hint="eastAsia" w:ascii="楷体_GB2312" w:eastAsia="楷体_GB2312"/>
          <w:b/>
          <w:color w:val="000000" w:themeColor="text1"/>
          <w:w w:val="90"/>
          <w:sz w:val="40"/>
          <w14:textFill>
            <w14:solidFill>
              <w14:schemeClr w14:val="tx1"/>
            </w14:solidFill>
          </w14:textFill>
        </w:rPr>
        <w:t>二</w:t>
      </w:r>
      <w:r>
        <w:rPr>
          <w:rFonts w:hint="eastAsia" w:ascii="宋体" w:hAnsi="宋体" w:cs="宋体"/>
          <w:b/>
          <w:color w:val="000000" w:themeColor="text1"/>
          <w:w w:val="90"/>
          <w:sz w:val="40"/>
          <w14:textFill>
            <w14:solidFill>
              <w14:schemeClr w14:val="tx1"/>
            </w14:solidFill>
          </w14:textFill>
        </w:rPr>
        <w:t>〇</w:t>
      </w:r>
      <w:r>
        <w:rPr>
          <w:rFonts w:hint="eastAsia" w:ascii="楷体_GB2312" w:eastAsia="楷体_GB2312"/>
          <w:b/>
          <w:color w:val="000000" w:themeColor="text1"/>
          <w:w w:val="90"/>
          <w:sz w:val="40"/>
          <w14:textFill>
            <w14:solidFill>
              <w14:schemeClr w14:val="tx1"/>
            </w14:solidFill>
          </w14:textFill>
        </w:rPr>
        <w:t>二</w:t>
      </w:r>
      <w:r>
        <w:rPr>
          <w:rFonts w:hint="eastAsia" w:ascii="宋体" w:hAnsi="宋体" w:cs="宋体"/>
          <w:b/>
          <w:color w:val="000000" w:themeColor="text1"/>
          <w:w w:val="90"/>
          <w:sz w:val="40"/>
          <w14:textFill>
            <w14:solidFill>
              <w14:schemeClr w14:val="tx1"/>
            </w14:solidFill>
          </w14:textFill>
        </w:rPr>
        <w:t>〇</w:t>
      </w:r>
      <w:r>
        <w:rPr>
          <w:rFonts w:hint="eastAsia" w:ascii="楷体_GB2312" w:hAnsi="楷体_GB2312" w:eastAsia="楷体_GB2312" w:cs="楷体_GB2312"/>
          <w:b/>
          <w:color w:val="000000" w:themeColor="text1"/>
          <w:w w:val="90"/>
          <w:sz w:val="40"/>
          <w14:textFill>
            <w14:solidFill>
              <w14:schemeClr w14:val="tx1"/>
            </w14:solidFill>
          </w14:textFill>
        </w:rPr>
        <w:t>年六月</w:t>
      </w:r>
    </w:p>
    <w:p>
      <w:pPr>
        <w:widowControl/>
        <w:jc w:val="left"/>
        <w:rPr>
          <w:rFonts w:ascii="黑体" w:hAnsi="黑体" w:eastAsia="黑体" w:cs="宋体"/>
          <w:color w:val="000000" w:themeColor="text1"/>
          <w:kern w:val="0"/>
          <w:sz w:val="44"/>
          <w:szCs w:val="32"/>
          <w14:textFill>
            <w14:solidFill>
              <w14:schemeClr w14:val="tx1"/>
            </w14:solidFill>
          </w14:textFill>
        </w:rPr>
      </w:pPr>
      <w:r>
        <w:rPr>
          <w:rFonts w:ascii="黑体" w:hAnsi="黑体" w:eastAsia="黑体"/>
          <w:color w:val="000000" w:themeColor="text1"/>
          <w:sz w:val="44"/>
          <w:szCs w:val="32"/>
          <w14:textFill>
            <w14:solidFill>
              <w14:schemeClr w14:val="tx1"/>
            </w14:solidFill>
          </w14:textFill>
        </w:rPr>
        <w:br w:type="page"/>
      </w:r>
    </w:p>
    <w:p>
      <w:pPr>
        <w:pStyle w:val="6"/>
        <w:topLinePunct/>
        <w:spacing w:before="0" w:beforeAutospacing="0" w:after="0" w:afterAutospacing="0" w:line="360" w:lineRule="auto"/>
        <w:ind w:firstLine="880"/>
        <w:jc w:val="center"/>
        <w:rPr>
          <w:rFonts w:ascii="黑体" w:hAnsi="黑体" w:eastAsia="黑体"/>
          <w:color w:val="000000" w:themeColor="text1"/>
          <w:sz w:val="44"/>
          <w:szCs w:val="32"/>
          <w14:textFill>
            <w14:solidFill>
              <w14:schemeClr w14:val="tx1"/>
            </w14:solidFill>
          </w14:textFill>
        </w:rPr>
      </w:pPr>
    </w:p>
    <w:p>
      <w:pPr>
        <w:pStyle w:val="6"/>
        <w:topLinePunct/>
        <w:spacing w:before="0" w:beforeAutospacing="0" w:after="0" w:afterAutospacing="0" w:line="360" w:lineRule="auto"/>
        <w:jc w:val="center"/>
        <w:rPr>
          <w:rFonts w:ascii="黑体" w:hAnsi="黑体" w:eastAsia="黑体"/>
          <w:color w:val="000000" w:themeColor="text1"/>
          <w:sz w:val="44"/>
          <w:szCs w:val="32"/>
          <w14:textFill>
            <w14:solidFill>
              <w14:schemeClr w14:val="tx1"/>
            </w14:solidFill>
          </w14:textFill>
        </w:rPr>
      </w:pPr>
      <w:r>
        <w:rPr>
          <w:rFonts w:hint="eastAsia" w:ascii="黑体" w:hAnsi="黑体" w:eastAsia="黑体"/>
          <w:color w:val="000000" w:themeColor="text1"/>
          <w:sz w:val="44"/>
          <w:szCs w:val="32"/>
          <w14:textFill>
            <w14:solidFill>
              <w14:schemeClr w14:val="tx1"/>
            </w14:solidFill>
          </w14:textFill>
        </w:rPr>
        <w:t>目 录</w:t>
      </w:r>
    </w:p>
    <w:p>
      <w:pPr>
        <w:pStyle w:val="6"/>
        <w:topLinePunct/>
        <w:spacing w:before="0" w:beforeAutospacing="0" w:after="0" w:afterAutospacing="0" w:line="360" w:lineRule="auto"/>
        <w:ind w:firstLine="720"/>
        <w:jc w:val="center"/>
        <w:rPr>
          <w:rFonts w:ascii="黑体" w:hAnsi="黑体" w:eastAsia="黑体"/>
          <w:color w:val="000000" w:themeColor="text1"/>
          <w:sz w:val="36"/>
          <w:szCs w:val="32"/>
          <w14:textFill>
            <w14:solidFill>
              <w14:schemeClr w14:val="tx1"/>
            </w14:solidFill>
          </w14:textFill>
        </w:rPr>
      </w:pPr>
    </w:p>
    <w:p>
      <w:pPr>
        <w:pStyle w:val="6"/>
        <w:overflowPunct w:val="0"/>
        <w:topLinePunct/>
        <w:spacing w:before="0" w:beforeAutospacing="0" w:after="0" w:afterAutospacing="0" w:line="360" w:lineRule="auto"/>
        <w:ind w:firstLine="640"/>
        <w:jc w:val="both"/>
        <w:rPr>
          <w:color w:val="000000" w:themeColor="text1"/>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第一部分</w:t>
      </w:r>
      <w:r>
        <w:rPr>
          <w:rFonts w:hint="eastAsia"/>
          <w:color w:val="000000" w:themeColor="text1"/>
          <w:sz w:val="32"/>
          <w:szCs w:val="32"/>
          <w14:textFill>
            <w14:solidFill>
              <w14:schemeClr w14:val="tx1"/>
            </w14:solidFill>
          </w14:textFill>
        </w:rPr>
        <w:t xml:space="preserve"> </w:t>
      </w:r>
      <w:r>
        <w:rPr>
          <w:rFonts w:hint="eastAsia" w:ascii="黑体" w:hAnsi="黑体" w:eastAsia="黑体"/>
          <w:color w:val="000000" w:themeColor="text1"/>
          <w:sz w:val="32"/>
          <w:szCs w:val="32"/>
          <w14:textFill>
            <w14:solidFill>
              <w14:schemeClr w14:val="tx1"/>
            </w14:solidFill>
          </w14:textFill>
        </w:rPr>
        <w:t>部门概况</w:t>
      </w:r>
      <w:r>
        <w:rPr>
          <w:rFonts w:hint="eastAsia"/>
          <w:color w:val="000000" w:themeColor="text1"/>
          <w:sz w:val="32"/>
          <w:szCs w:val="32"/>
          <w14:textFill>
            <w14:solidFill>
              <w14:schemeClr w14:val="tx1"/>
            </w14:solidFill>
          </w14:textFill>
        </w:rPr>
        <w:t> </w:t>
      </w:r>
    </w:p>
    <w:p>
      <w:pPr>
        <w:pStyle w:val="6"/>
        <w:overflowPunct w:val="0"/>
        <w:topLinePunct/>
        <w:spacing w:before="0" w:beforeAutospacing="0" w:after="0" w:afterAutospacing="0" w:line="360" w:lineRule="auto"/>
        <w:ind w:firstLine="640"/>
        <w:rPr>
          <w:color w:val="000000" w:themeColor="text1"/>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一、部门主要职责</w:t>
      </w:r>
    </w:p>
    <w:p>
      <w:pPr>
        <w:pStyle w:val="6"/>
        <w:overflowPunct w:val="0"/>
        <w:topLinePunct/>
        <w:spacing w:before="0" w:beforeAutospacing="0" w:after="0" w:afterAutospacing="0" w:line="360" w:lineRule="auto"/>
        <w:ind w:firstLine="640"/>
        <w:rPr>
          <w:color w:val="000000" w:themeColor="text1"/>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二、机构设置情况</w:t>
      </w:r>
    </w:p>
    <w:p>
      <w:pPr>
        <w:pStyle w:val="6"/>
        <w:overflowPunct w:val="0"/>
        <w:topLinePunct/>
        <w:spacing w:before="0" w:beforeAutospacing="0" w:after="0" w:afterAutospacing="0" w:line="360" w:lineRule="auto"/>
        <w:ind w:firstLine="640"/>
        <w:jc w:val="both"/>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第二部分 2020年部门预算情况说明</w:t>
      </w:r>
    </w:p>
    <w:p>
      <w:pPr>
        <w:pStyle w:val="6"/>
        <w:overflowPunct w:val="0"/>
        <w:topLinePunct/>
        <w:spacing w:before="0" w:beforeAutospacing="0" w:after="0" w:afterAutospacing="0" w:line="360" w:lineRule="auto"/>
        <w:ind w:firstLine="640"/>
        <w:jc w:val="both"/>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第三部分 名词解释</w:t>
      </w:r>
    </w:p>
    <w:p>
      <w:pPr>
        <w:pStyle w:val="6"/>
        <w:overflowPunct w:val="0"/>
        <w:topLinePunct/>
        <w:spacing w:before="0" w:beforeAutospacing="0" w:after="0" w:afterAutospacing="0" w:line="360" w:lineRule="auto"/>
        <w:ind w:firstLine="640"/>
        <w:jc w:val="both"/>
        <w:rPr>
          <w:rFonts w:ascii="黑体" w:hAnsi="黑体" w:eastAsia="黑体"/>
          <w:color w:val="000000" w:themeColor="text1"/>
          <w:sz w:val="32"/>
          <w:szCs w:val="32"/>
          <w14:textFill>
            <w14:solidFill>
              <w14:schemeClr w14:val="tx1"/>
            </w14:solidFill>
          </w14:textFill>
        </w:rPr>
      </w:pPr>
    </w:p>
    <w:p>
      <w:pPr>
        <w:rPr>
          <w:rFonts w:ascii="黑体" w:hAnsi="黑体" w:eastAsia="黑体" w:cs="宋体"/>
          <w:color w:val="000000" w:themeColor="text1"/>
          <w:kern w:val="0"/>
          <w:szCs w:val="32"/>
          <w14:textFill>
            <w14:solidFill>
              <w14:schemeClr w14:val="tx1"/>
            </w14:solidFill>
          </w14:textFill>
        </w:rPr>
      </w:pPr>
      <w:r>
        <w:rPr>
          <w:rFonts w:hint="eastAsia" w:ascii="黑体" w:hAnsi="黑体" w:eastAsia="黑体" w:cs="宋体"/>
          <w:color w:val="000000" w:themeColor="text1"/>
          <w:kern w:val="0"/>
          <w:szCs w:val="32"/>
          <w14:textFill>
            <w14:solidFill>
              <w14:schemeClr w14:val="tx1"/>
            </w14:solidFill>
          </w14:textFill>
        </w:rPr>
        <w:t>附件：濮阳市华龙区人民医院2020年部门预算表</w:t>
      </w:r>
    </w:p>
    <w:p>
      <w:pPr>
        <w:pStyle w:val="6"/>
        <w:overflowPunct w:val="0"/>
        <w:topLinePunct/>
        <w:spacing w:before="0" w:beforeAutospacing="0" w:after="0" w:afterAutospacing="0" w:line="360" w:lineRule="auto"/>
        <w:ind w:firstLine="640"/>
        <w:rPr>
          <w:color w:val="000000" w:themeColor="text1"/>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一、部门收支总表</w:t>
      </w:r>
    </w:p>
    <w:p>
      <w:pPr>
        <w:pStyle w:val="6"/>
        <w:overflowPunct w:val="0"/>
        <w:topLinePunct/>
        <w:spacing w:before="0" w:beforeAutospacing="0" w:after="0" w:afterAutospacing="0" w:line="360" w:lineRule="auto"/>
        <w:ind w:firstLine="640"/>
        <w:rPr>
          <w:color w:val="000000" w:themeColor="text1"/>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二、部门收入总表</w:t>
      </w:r>
    </w:p>
    <w:p>
      <w:pPr>
        <w:pStyle w:val="6"/>
        <w:overflowPunct w:val="0"/>
        <w:topLinePunct/>
        <w:spacing w:before="0" w:beforeAutospacing="0" w:after="0" w:afterAutospacing="0" w:line="360" w:lineRule="auto"/>
        <w:ind w:firstLine="640"/>
        <w:rPr>
          <w:color w:val="000000" w:themeColor="text1"/>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三、部门支出总表</w:t>
      </w:r>
    </w:p>
    <w:p>
      <w:pPr>
        <w:pStyle w:val="6"/>
        <w:overflowPunct w:val="0"/>
        <w:topLinePunct/>
        <w:spacing w:before="0" w:beforeAutospacing="0" w:after="0" w:afterAutospacing="0" w:line="360" w:lineRule="auto"/>
        <w:ind w:firstLine="640"/>
        <w:rPr>
          <w:color w:val="000000" w:themeColor="text1"/>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四、财政拨款收支总表</w:t>
      </w:r>
    </w:p>
    <w:p>
      <w:pPr>
        <w:pStyle w:val="6"/>
        <w:overflowPunct w:val="0"/>
        <w:topLinePunct/>
        <w:spacing w:before="0" w:beforeAutospacing="0" w:after="0" w:afterAutospacing="0" w:line="360" w:lineRule="auto"/>
        <w:ind w:firstLine="640"/>
        <w:rPr>
          <w:color w:val="000000" w:themeColor="text1"/>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五、一般公共预算支出表</w:t>
      </w:r>
    </w:p>
    <w:p>
      <w:pPr>
        <w:pStyle w:val="6"/>
        <w:overflowPunct w:val="0"/>
        <w:topLinePunct/>
        <w:spacing w:before="0" w:beforeAutospacing="0" w:after="0" w:afterAutospacing="0" w:line="360" w:lineRule="auto"/>
        <w:ind w:firstLine="640"/>
        <w:rPr>
          <w:color w:val="000000" w:themeColor="text1"/>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六、一般公共预算基本支出表</w:t>
      </w:r>
    </w:p>
    <w:p>
      <w:pPr>
        <w:pStyle w:val="6"/>
        <w:overflowPunct w:val="0"/>
        <w:topLinePunct/>
        <w:spacing w:before="0" w:beforeAutospacing="0" w:after="0" w:afterAutospacing="0" w:line="360" w:lineRule="auto"/>
        <w:ind w:firstLine="640"/>
        <w:rPr>
          <w:color w:val="000000" w:themeColor="text1"/>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七、一般公共预算“三公”经费支出表</w:t>
      </w:r>
    </w:p>
    <w:p>
      <w:pPr>
        <w:pStyle w:val="6"/>
        <w:overflowPunct w:val="0"/>
        <w:topLinePunct/>
        <w:spacing w:before="0" w:beforeAutospacing="0" w:after="0" w:afterAutospacing="0" w:line="360" w:lineRule="auto"/>
        <w:ind w:firstLine="640"/>
        <w:rPr>
          <w:color w:val="000000" w:themeColor="text1"/>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八、政府性基金预算支出表</w:t>
      </w:r>
    </w:p>
    <w:p>
      <w:pPr>
        <w:ind w:firstLine="640" w:firstLineChars="200"/>
        <w:rPr>
          <w:rFonts w:ascii="黑体" w:hAnsi="黑体" w:eastAsia="黑体"/>
          <w:color w:val="000000" w:themeColor="text1"/>
          <w:szCs w:val="32"/>
          <w14:textFill>
            <w14:solidFill>
              <w14:schemeClr w14:val="tx1"/>
            </w14:solidFill>
          </w14:textFill>
        </w:rPr>
      </w:pPr>
    </w:p>
    <w:p>
      <w:pPr>
        <w:rPr>
          <w:rFonts w:ascii="黑体" w:hAnsi="黑体" w:eastAsia="黑体"/>
          <w:color w:val="000000" w:themeColor="text1"/>
          <w:szCs w:val="32"/>
          <w14:textFill>
            <w14:solidFill>
              <w14:schemeClr w14:val="tx1"/>
            </w14:solidFill>
          </w14:textFill>
        </w:rPr>
      </w:pPr>
      <w:r>
        <w:rPr>
          <w:rFonts w:ascii="黑体" w:hAnsi="黑体" w:eastAsia="黑体"/>
          <w:color w:val="000000" w:themeColor="text1"/>
          <w:szCs w:val="32"/>
          <w14:textFill>
            <w14:solidFill>
              <w14:schemeClr w14:val="tx1"/>
            </w14:solidFill>
          </w14:textFill>
        </w:rPr>
        <w:br w:type="page"/>
      </w:r>
    </w:p>
    <w:p>
      <w:pPr>
        <w:ind w:firstLine="640" w:firstLineChars="200"/>
        <w:rPr>
          <w:rFonts w:ascii="黑体" w:hAnsi="黑体" w:eastAsia="黑体"/>
          <w:color w:val="000000" w:themeColor="text1"/>
          <w:szCs w:val="32"/>
          <w14:textFill>
            <w14:solidFill>
              <w14:schemeClr w14:val="tx1"/>
            </w14:solidFill>
          </w14:textFill>
        </w:rPr>
      </w:pPr>
    </w:p>
    <w:p>
      <w:pPr>
        <w:pStyle w:val="6"/>
        <w:topLinePunct/>
        <w:spacing w:before="0" w:beforeAutospacing="0" w:after="0" w:afterAutospacing="0" w:line="360" w:lineRule="auto"/>
        <w:jc w:val="center"/>
        <w:rPr>
          <w:rFonts w:ascii="Calibri" w:hAnsi="Calibri"/>
          <w:color w:val="000000" w:themeColor="text1"/>
          <w:sz w:val="22"/>
          <w:szCs w:val="21"/>
          <w14:textFill>
            <w14:solidFill>
              <w14:schemeClr w14:val="tx1"/>
            </w14:solidFill>
          </w14:textFill>
        </w:rPr>
      </w:pPr>
      <w:r>
        <w:rPr>
          <w:rFonts w:hint="eastAsia" w:ascii="黑体" w:hAnsi="黑体" w:eastAsia="黑体"/>
          <w:color w:val="000000" w:themeColor="text1"/>
          <w:sz w:val="36"/>
          <w:szCs w:val="32"/>
          <w14:textFill>
            <w14:solidFill>
              <w14:schemeClr w14:val="tx1"/>
            </w14:solidFill>
          </w14:textFill>
        </w:rPr>
        <w:t>第一部分</w:t>
      </w:r>
    </w:p>
    <w:p>
      <w:pPr>
        <w:pStyle w:val="6"/>
        <w:topLinePunct/>
        <w:spacing w:before="0" w:beforeAutospacing="0" w:after="0" w:afterAutospacing="0" w:line="360" w:lineRule="auto"/>
        <w:jc w:val="center"/>
        <w:rPr>
          <w:rFonts w:ascii="Calibri" w:hAnsi="Calibri"/>
          <w:color w:val="000000" w:themeColor="text1"/>
          <w:sz w:val="22"/>
          <w:szCs w:val="21"/>
          <w14:textFill>
            <w14:solidFill>
              <w14:schemeClr w14:val="tx1"/>
            </w14:solidFill>
          </w14:textFill>
        </w:rPr>
      </w:pPr>
      <w:r>
        <w:rPr>
          <w:rFonts w:hint="eastAsia" w:ascii="黑体" w:hAnsi="黑体" w:eastAsia="黑体"/>
          <w:color w:val="000000" w:themeColor="text1"/>
          <w:sz w:val="36"/>
          <w:szCs w:val="32"/>
          <w14:textFill>
            <w14:solidFill>
              <w14:schemeClr w14:val="tx1"/>
            </w14:solidFill>
          </w14:textFill>
        </w:rPr>
        <w:t>部门概况</w:t>
      </w:r>
    </w:p>
    <w:p>
      <w:pPr>
        <w:ind w:firstLine="640" w:firstLineChars="200"/>
        <w:rPr>
          <w:rFonts w:ascii="黑体" w:hAnsi="黑体" w:eastAsia="黑体"/>
          <w:color w:val="000000" w:themeColor="text1"/>
          <w:szCs w:val="32"/>
          <w14:textFill>
            <w14:solidFill>
              <w14:schemeClr w14:val="tx1"/>
            </w14:solidFill>
          </w14:textFill>
        </w:rPr>
      </w:pPr>
      <w:r>
        <w:rPr>
          <w:rFonts w:ascii="黑体" w:hAnsi="黑体" w:eastAsia="黑体"/>
          <w:color w:val="000000" w:themeColor="text1"/>
          <w:szCs w:val="32"/>
          <w14:textFill>
            <w14:solidFill>
              <w14:schemeClr w14:val="tx1"/>
            </w14:solidFill>
          </w14:textFill>
        </w:rPr>
        <w:t> </w:t>
      </w:r>
    </w:p>
    <w:p>
      <w:pPr>
        <w:ind w:firstLine="640" w:firstLineChars="200"/>
        <w:rPr>
          <w:rFonts w:ascii="黑体" w:hAnsi="黑体" w:eastAsia="黑体"/>
          <w:color w:val="000000" w:themeColor="text1"/>
          <w:szCs w:val="32"/>
          <w14:textFill>
            <w14:solidFill>
              <w14:schemeClr w14:val="tx1"/>
            </w14:solidFill>
          </w14:textFill>
        </w:rPr>
      </w:pPr>
      <w:r>
        <w:rPr>
          <w:rFonts w:hint="eastAsia" w:ascii="黑体" w:hAnsi="黑体" w:eastAsia="黑体"/>
          <w:color w:val="000000" w:themeColor="text1"/>
          <w:szCs w:val="32"/>
          <w14:textFill>
            <w14:solidFill>
              <w14:schemeClr w14:val="tx1"/>
            </w14:solidFill>
          </w14:textFill>
        </w:rPr>
        <w:t>一、部门主要职责</w:t>
      </w:r>
    </w:p>
    <w:p>
      <w:pPr>
        <w:widowControl/>
        <w:ind w:firstLine="640" w:firstLineChars="200"/>
        <w:jc w:val="left"/>
        <w:rPr>
          <w:rFonts w:ascii="仿宋" w:hAnsi="仿宋" w:eastAsia="仿宋"/>
          <w:color w:val="000000" w:themeColor="text1"/>
          <w:szCs w:val="32"/>
          <w14:textFill>
            <w14:solidFill>
              <w14:schemeClr w14:val="tx1"/>
            </w14:solidFill>
          </w14:textFill>
        </w:rPr>
      </w:pPr>
      <w:r>
        <w:rPr>
          <w:rFonts w:hint="eastAsia" w:ascii="仿宋" w:hAnsi="仿宋" w:eastAsia="仿宋"/>
          <w:color w:val="000000" w:themeColor="text1"/>
          <w:szCs w:val="32"/>
          <w14:textFill>
            <w14:solidFill>
              <w14:schemeClr w14:val="tx1"/>
            </w14:solidFill>
          </w14:textFill>
        </w:rPr>
        <w:t>1.华龙区人民医院承担着辖区内居民预防、治疗、保健及13项基本公共卫生服务工作。</w:t>
      </w:r>
    </w:p>
    <w:p>
      <w:pPr>
        <w:widowControl/>
        <w:ind w:firstLine="640" w:firstLineChars="200"/>
        <w:jc w:val="left"/>
        <w:rPr>
          <w:rFonts w:ascii="仿宋" w:hAnsi="仿宋" w:eastAsia="仿宋"/>
          <w:color w:val="000000" w:themeColor="text1"/>
          <w:szCs w:val="32"/>
          <w14:textFill>
            <w14:solidFill>
              <w14:schemeClr w14:val="tx1"/>
            </w14:solidFill>
          </w14:textFill>
        </w:rPr>
      </w:pPr>
      <w:r>
        <w:rPr>
          <w:rFonts w:hint="eastAsia" w:ascii="仿宋" w:hAnsi="仿宋" w:eastAsia="仿宋"/>
          <w:color w:val="000000" w:themeColor="text1"/>
          <w:szCs w:val="32"/>
          <w14:textFill>
            <w14:solidFill>
              <w14:schemeClr w14:val="tx1"/>
            </w14:solidFill>
          </w14:textFill>
        </w:rPr>
        <w:t>2.负责辖区内妇幼保健知识的宣传，同时也承担着区政府和区卫生行政主管部门交付的其它任务。</w:t>
      </w:r>
    </w:p>
    <w:p>
      <w:pPr>
        <w:widowControl/>
        <w:ind w:firstLine="640" w:firstLineChars="200"/>
        <w:jc w:val="left"/>
        <w:rPr>
          <w:rFonts w:ascii="仿宋" w:hAnsi="仿宋" w:eastAsia="仿宋"/>
          <w:color w:val="000000" w:themeColor="text1"/>
          <w:szCs w:val="32"/>
          <w14:textFill>
            <w14:solidFill>
              <w14:schemeClr w14:val="tx1"/>
            </w14:solidFill>
          </w14:textFill>
        </w:rPr>
      </w:pPr>
      <w:r>
        <w:rPr>
          <w:rFonts w:hint="eastAsia" w:ascii="仿宋" w:hAnsi="仿宋" w:eastAsia="仿宋"/>
          <w:color w:val="000000" w:themeColor="text1"/>
          <w:szCs w:val="32"/>
          <w14:textFill>
            <w14:solidFill>
              <w14:schemeClr w14:val="tx1"/>
            </w14:solidFill>
          </w14:textFill>
        </w:rPr>
        <w:t>3.</w:t>
      </w:r>
      <w:r>
        <w:rPr>
          <w:rFonts w:ascii="仿宋" w:hAnsi="仿宋" w:eastAsia="仿宋"/>
          <w:color w:val="000000" w:themeColor="text1"/>
          <w:szCs w:val="32"/>
          <w14:textFill>
            <w14:solidFill>
              <w14:schemeClr w14:val="tx1"/>
            </w14:solidFill>
          </w14:textFill>
        </w:rPr>
        <w:t xml:space="preserve"> 开展心理卫生、咨询等门诊服务和支持、指导社区、护理、康复医疗服务。</w:t>
      </w:r>
    </w:p>
    <w:p>
      <w:pPr>
        <w:widowControl/>
        <w:ind w:firstLine="640" w:firstLineChars="200"/>
        <w:jc w:val="left"/>
        <w:rPr>
          <w:rFonts w:ascii="仿宋" w:hAnsi="仿宋" w:eastAsia="仿宋"/>
          <w:color w:val="000000" w:themeColor="text1"/>
          <w:szCs w:val="32"/>
          <w14:textFill>
            <w14:solidFill>
              <w14:schemeClr w14:val="tx1"/>
            </w14:solidFill>
          </w14:textFill>
        </w:rPr>
      </w:pPr>
      <w:r>
        <w:rPr>
          <w:rFonts w:hint="eastAsia" w:ascii="仿宋" w:hAnsi="仿宋" w:eastAsia="仿宋"/>
          <w:color w:val="000000" w:themeColor="text1"/>
          <w:szCs w:val="32"/>
          <w14:textFill>
            <w14:solidFill>
              <w14:schemeClr w14:val="tx1"/>
            </w14:solidFill>
          </w14:textFill>
        </w:rPr>
        <w:t>4.华龙区人民医院承担全区干部职工的健康体检和健康管理工作。</w:t>
      </w:r>
    </w:p>
    <w:p>
      <w:pPr>
        <w:widowControl/>
        <w:ind w:firstLine="640" w:firstLineChars="200"/>
        <w:jc w:val="left"/>
        <w:rPr>
          <w:rFonts w:ascii="仿宋" w:hAnsi="仿宋" w:eastAsia="仿宋"/>
          <w:color w:val="000000" w:themeColor="text1"/>
          <w:szCs w:val="32"/>
          <w14:textFill>
            <w14:solidFill>
              <w14:schemeClr w14:val="tx1"/>
            </w14:solidFill>
          </w14:textFill>
        </w:rPr>
      </w:pPr>
      <w:r>
        <w:rPr>
          <w:rFonts w:hint="eastAsia" w:ascii="仿宋" w:hAnsi="仿宋" w:eastAsia="仿宋"/>
          <w:color w:val="000000" w:themeColor="text1"/>
          <w:szCs w:val="32"/>
          <w14:textFill>
            <w14:solidFill>
              <w14:schemeClr w14:val="tx1"/>
            </w14:solidFill>
          </w14:textFill>
        </w:rPr>
        <w:t>5.负责辖区内“宫颈癌”和“乳腺癌”免费筛查工作。</w:t>
      </w:r>
    </w:p>
    <w:p>
      <w:pPr>
        <w:widowControl/>
        <w:ind w:firstLine="640" w:firstLineChars="200"/>
        <w:jc w:val="left"/>
        <w:rPr>
          <w:rFonts w:ascii="仿宋" w:hAnsi="仿宋" w:eastAsia="仿宋"/>
          <w:color w:val="000000" w:themeColor="text1"/>
          <w:szCs w:val="32"/>
          <w14:textFill>
            <w14:solidFill>
              <w14:schemeClr w14:val="tx1"/>
            </w14:solidFill>
          </w14:textFill>
        </w:rPr>
      </w:pPr>
      <w:r>
        <w:rPr>
          <w:rFonts w:hint="eastAsia" w:ascii="仿宋" w:hAnsi="仿宋" w:eastAsia="仿宋"/>
          <w:color w:val="000000" w:themeColor="text1"/>
          <w:szCs w:val="32"/>
          <w14:textFill>
            <w14:solidFill>
              <w14:schemeClr w14:val="tx1"/>
            </w14:solidFill>
          </w14:textFill>
        </w:rPr>
        <w:t>6.我院组织建立积极开展预防出生缺陷产前筛查和新生儿疾病筛查工作。</w:t>
      </w:r>
    </w:p>
    <w:p>
      <w:pPr>
        <w:ind w:firstLine="640" w:firstLineChars="200"/>
        <w:rPr>
          <w:rFonts w:ascii="黑体" w:hAnsi="黑体" w:eastAsia="黑体"/>
          <w:color w:val="000000" w:themeColor="text1"/>
          <w:szCs w:val="32"/>
          <w14:textFill>
            <w14:solidFill>
              <w14:schemeClr w14:val="tx1"/>
            </w14:solidFill>
          </w14:textFill>
        </w:rPr>
      </w:pPr>
      <w:r>
        <w:rPr>
          <w:rFonts w:hint="eastAsia" w:ascii="黑体" w:hAnsi="黑体" w:eastAsia="黑体"/>
          <w:color w:val="000000" w:themeColor="text1"/>
          <w:szCs w:val="32"/>
          <w14:textFill>
            <w14:solidFill>
              <w14:schemeClr w14:val="tx1"/>
            </w14:solidFill>
          </w14:textFill>
        </w:rPr>
        <w:t>二、机构设置情况</w:t>
      </w:r>
    </w:p>
    <w:p>
      <w:pPr>
        <w:widowControl/>
        <w:ind w:firstLine="640" w:firstLineChars="200"/>
        <w:jc w:val="left"/>
        <w:rPr>
          <w:rFonts w:ascii="仿宋" w:hAnsi="仿宋" w:eastAsia="仿宋"/>
          <w:color w:val="000000" w:themeColor="text1"/>
          <w:szCs w:val="32"/>
          <w14:textFill>
            <w14:solidFill>
              <w14:schemeClr w14:val="tx1"/>
            </w14:solidFill>
          </w14:textFill>
        </w:rPr>
      </w:pPr>
      <w:r>
        <w:rPr>
          <w:rFonts w:hint="eastAsia" w:ascii="仿宋" w:hAnsi="仿宋" w:eastAsia="仿宋"/>
          <w:color w:val="000000" w:themeColor="text1"/>
          <w:szCs w:val="32"/>
          <w14:textFill>
            <w14:solidFill>
              <w14:schemeClr w14:val="tx1"/>
            </w14:solidFill>
          </w14:textFill>
        </w:rPr>
        <w:t>华龙区人民医院内设办公室、医务科、财务科、中玉社区卫生服务中心、全科、外科、妇产科、麻醉科、检验科、功能科、药械科、健康管理中心等12个科室。本部门无独立核算的下属预算单位，部门本级预算即汇总预算。</w:t>
      </w:r>
    </w:p>
    <w:p>
      <w:pPr>
        <w:widowControl/>
        <w:ind w:firstLine="640" w:firstLineChars="200"/>
        <w:jc w:val="left"/>
        <w:rPr>
          <w:rFonts w:ascii="仿宋" w:hAnsi="仿宋" w:eastAsia="仿宋"/>
          <w:color w:val="000000" w:themeColor="text1"/>
          <w:szCs w:val="32"/>
          <w14:textFill>
            <w14:solidFill>
              <w14:schemeClr w14:val="tx1"/>
            </w14:solidFill>
          </w14:textFill>
        </w:rPr>
      </w:pPr>
    </w:p>
    <w:p>
      <w:pPr>
        <w:widowControl/>
        <w:ind w:firstLine="640" w:firstLineChars="200"/>
        <w:jc w:val="left"/>
        <w:rPr>
          <w:rFonts w:ascii="仿宋" w:hAnsi="仿宋" w:eastAsia="仿宋"/>
          <w:color w:val="000000" w:themeColor="text1"/>
          <w:szCs w:val="32"/>
          <w14:textFill>
            <w14:solidFill>
              <w14:schemeClr w14:val="tx1"/>
            </w14:solidFill>
          </w14:textFill>
        </w:rPr>
      </w:pPr>
    </w:p>
    <w:p>
      <w:pPr>
        <w:pStyle w:val="6"/>
        <w:topLinePunct/>
        <w:spacing w:before="0" w:beforeAutospacing="0" w:after="0" w:afterAutospacing="0" w:line="360" w:lineRule="auto"/>
        <w:jc w:val="center"/>
        <w:rPr>
          <w:rFonts w:ascii="Calibri" w:hAnsi="Calibri"/>
          <w:color w:val="000000" w:themeColor="text1"/>
          <w:sz w:val="22"/>
          <w:szCs w:val="21"/>
          <w14:textFill>
            <w14:solidFill>
              <w14:schemeClr w14:val="tx1"/>
            </w14:solidFill>
          </w14:textFill>
        </w:rPr>
      </w:pPr>
      <w:r>
        <w:rPr>
          <w:rFonts w:hint="eastAsia" w:ascii="黑体" w:hAnsi="黑体" w:eastAsia="黑体"/>
          <w:color w:val="000000" w:themeColor="text1"/>
          <w:sz w:val="36"/>
          <w:szCs w:val="32"/>
          <w14:textFill>
            <w14:solidFill>
              <w14:schemeClr w14:val="tx1"/>
            </w14:solidFill>
          </w14:textFill>
        </w:rPr>
        <w:t>第二部分</w:t>
      </w:r>
    </w:p>
    <w:p>
      <w:pPr>
        <w:pStyle w:val="6"/>
        <w:topLinePunct/>
        <w:spacing w:before="0" w:beforeAutospacing="0" w:after="0" w:afterAutospacing="0" w:line="360" w:lineRule="auto"/>
        <w:jc w:val="center"/>
        <w:rPr>
          <w:rFonts w:ascii="Calibri" w:hAnsi="Calibri"/>
          <w:color w:val="000000" w:themeColor="text1"/>
          <w:sz w:val="22"/>
          <w:szCs w:val="21"/>
          <w14:textFill>
            <w14:solidFill>
              <w14:schemeClr w14:val="tx1"/>
            </w14:solidFill>
          </w14:textFill>
        </w:rPr>
      </w:pPr>
      <w:r>
        <w:rPr>
          <w:rFonts w:hint="eastAsia" w:ascii="黑体" w:hAnsi="黑体" w:eastAsia="黑体"/>
          <w:color w:val="000000" w:themeColor="text1"/>
          <w:sz w:val="36"/>
          <w:szCs w:val="32"/>
          <w14:textFill>
            <w14:solidFill>
              <w14:schemeClr w14:val="tx1"/>
            </w14:solidFill>
          </w14:textFill>
        </w:rPr>
        <w:t>2020年部门预算情况说明</w:t>
      </w:r>
    </w:p>
    <w:p>
      <w:pPr>
        <w:ind w:firstLine="640" w:firstLineChars="200"/>
        <w:rPr>
          <w:rFonts w:ascii="华文仿宋" w:hAnsi="华文仿宋" w:eastAsia="华文仿宋"/>
          <w:color w:val="000000" w:themeColor="text1"/>
          <w:szCs w:val="32"/>
          <w14:textFill>
            <w14:solidFill>
              <w14:schemeClr w14:val="tx1"/>
            </w14:solidFill>
          </w14:textFill>
        </w:rPr>
      </w:pPr>
    </w:p>
    <w:p>
      <w:pPr>
        <w:ind w:firstLine="640" w:firstLineChars="200"/>
        <w:rPr>
          <w:rFonts w:ascii="黑体" w:hAnsi="黑体" w:eastAsia="黑体"/>
          <w:color w:val="000000" w:themeColor="text1"/>
          <w:szCs w:val="32"/>
          <w14:textFill>
            <w14:solidFill>
              <w14:schemeClr w14:val="tx1"/>
            </w14:solidFill>
          </w14:textFill>
        </w:rPr>
      </w:pPr>
      <w:r>
        <w:rPr>
          <w:rFonts w:hint="eastAsia" w:ascii="黑体" w:hAnsi="黑体" w:eastAsia="黑体"/>
          <w:color w:val="000000" w:themeColor="text1"/>
          <w:szCs w:val="32"/>
          <w14:textFill>
            <w14:solidFill>
              <w14:schemeClr w14:val="tx1"/>
            </w14:solidFill>
          </w14:textFill>
        </w:rPr>
        <w:t>一、本级预算和所属单位预算在内的汇总预算总体情况</w:t>
      </w:r>
    </w:p>
    <w:p>
      <w:pPr>
        <w:ind w:firstLine="640" w:firstLineChars="200"/>
        <w:rPr>
          <w:rFonts w:ascii="仿宋" w:hAnsi="仿宋" w:eastAsia="仿宋"/>
          <w:color w:val="000000" w:themeColor="text1"/>
          <w:szCs w:val="32"/>
          <w14:textFill>
            <w14:solidFill>
              <w14:schemeClr w14:val="tx1"/>
            </w14:solidFill>
          </w14:textFill>
        </w:rPr>
      </w:pPr>
      <w:r>
        <w:rPr>
          <w:rFonts w:hint="eastAsia" w:ascii="仿宋" w:hAnsi="仿宋" w:eastAsia="仿宋"/>
          <w:color w:val="000000" w:themeColor="text1"/>
          <w:szCs w:val="32"/>
          <w14:textFill>
            <w14:solidFill>
              <w14:schemeClr w14:val="tx1"/>
            </w14:solidFill>
          </w14:textFill>
        </w:rPr>
        <w:t>本部门无独立核算的下属预算单位，部门本级预算即汇总预算。</w:t>
      </w:r>
      <w:r>
        <w:rPr>
          <w:rFonts w:ascii="仿宋" w:hAnsi="仿宋" w:eastAsia="仿宋"/>
          <w:color w:val="000000" w:themeColor="text1"/>
          <w:szCs w:val="32"/>
          <w14:textFill>
            <w14:solidFill>
              <w14:schemeClr w14:val="tx1"/>
            </w14:solidFill>
          </w14:textFill>
        </w:rPr>
        <w:t>20</w:t>
      </w:r>
      <w:r>
        <w:rPr>
          <w:rFonts w:hint="eastAsia" w:ascii="仿宋" w:hAnsi="仿宋" w:eastAsia="仿宋"/>
          <w:color w:val="000000" w:themeColor="text1"/>
          <w:szCs w:val="32"/>
          <w14:textFill>
            <w14:solidFill>
              <w14:schemeClr w14:val="tx1"/>
            </w14:solidFill>
          </w14:textFill>
        </w:rPr>
        <w:t>20年本部门预算收入总计1428.11万元，支出总计1428.11万元。</w:t>
      </w:r>
    </w:p>
    <w:p>
      <w:pPr>
        <w:ind w:firstLine="640" w:firstLineChars="200"/>
        <w:rPr>
          <w:rFonts w:ascii="黑体" w:hAnsi="黑体" w:eastAsia="黑体"/>
          <w:color w:val="000000" w:themeColor="text1"/>
          <w:szCs w:val="32"/>
          <w14:textFill>
            <w14:solidFill>
              <w14:schemeClr w14:val="tx1"/>
            </w14:solidFill>
          </w14:textFill>
        </w:rPr>
      </w:pPr>
      <w:r>
        <w:rPr>
          <w:rFonts w:hint="eastAsia" w:ascii="黑体" w:hAnsi="黑体" w:eastAsia="黑体"/>
          <w:color w:val="000000" w:themeColor="text1"/>
          <w:szCs w:val="32"/>
          <w14:textFill>
            <w14:solidFill>
              <w14:schemeClr w14:val="tx1"/>
            </w14:solidFill>
          </w14:textFill>
        </w:rPr>
        <w:t>二、部门预算收支增减变动情况</w:t>
      </w:r>
    </w:p>
    <w:p>
      <w:pPr>
        <w:ind w:firstLine="640" w:firstLineChars="200"/>
        <w:rPr>
          <w:rFonts w:ascii="仿宋" w:hAnsi="仿宋" w:eastAsia="仿宋"/>
          <w:color w:val="000000" w:themeColor="text1"/>
          <w:szCs w:val="32"/>
          <w14:textFill>
            <w14:solidFill>
              <w14:schemeClr w14:val="tx1"/>
            </w14:solidFill>
          </w14:textFill>
        </w:rPr>
      </w:pPr>
      <w:r>
        <w:rPr>
          <w:rFonts w:ascii="仿宋" w:hAnsi="仿宋" w:eastAsia="仿宋"/>
          <w:color w:val="000000" w:themeColor="text1"/>
          <w:szCs w:val="32"/>
          <w14:textFill>
            <w14:solidFill>
              <w14:schemeClr w14:val="tx1"/>
            </w14:solidFill>
          </w14:textFill>
        </w:rPr>
        <w:t>20</w:t>
      </w:r>
      <w:r>
        <w:rPr>
          <w:rFonts w:hint="eastAsia" w:ascii="仿宋" w:hAnsi="仿宋" w:eastAsia="仿宋"/>
          <w:color w:val="000000" w:themeColor="text1"/>
          <w:szCs w:val="32"/>
          <w14:textFill>
            <w14:solidFill>
              <w14:schemeClr w14:val="tx1"/>
            </w14:solidFill>
          </w14:textFill>
        </w:rPr>
        <w:t>20年本部门预算收入总计1428.11万元，支出总计1428.11万元。其中：基本支出578.31万元，占比40.49%，项目支出849.8万元，占比59.51%。</w:t>
      </w:r>
    </w:p>
    <w:p>
      <w:pPr>
        <w:ind w:firstLine="640" w:firstLineChars="200"/>
        <w:rPr>
          <w:rFonts w:ascii="仿宋" w:hAnsi="仿宋" w:eastAsia="仿宋"/>
          <w:color w:val="000000" w:themeColor="text1"/>
          <w:szCs w:val="32"/>
          <w14:textFill>
            <w14:solidFill>
              <w14:schemeClr w14:val="tx1"/>
            </w14:solidFill>
          </w14:textFill>
        </w:rPr>
      </w:pPr>
      <w:r>
        <w:rPr>
          <w:rFonts w:hint="eastAsia" w:ascii="仿宋" w:hAnsi="仿宋" w:eastAsia="仿宋"/>
          <w:color w:val="000000" w:themeColor="text1"/>
          <w:szCs w:val="32"/>
          <w14:textFill>
            <w14:solidFill>
              <w14:schemeClr w14:val="tx1"/>
            </w14:solidFill>
          </w14:textFill>
        </w:rPr>
        <w:t>2020年本部门预算</w:t>
      </w:r>
      <w:r>
        <w:rPr>
          <w:rFonts w:hint="eastAsia" w:ascii="仿宋" w:hAnsi="仿宋" w:eastAsia="仿宋" w:cs="仿宋"/>
          <w:sz w:val="32"/>
          <w:szCs w:val="32"/>
          <w:lang w:val="en-US" w:eastAsia="zh-CN"/>
        </w:rPr>
        <w:t>收入和支出均</w:t>
      </w:r>
      <w:r>
        <w:rPr>
          <w:rFonts w:hint="eastAsia" w:ascii="仿宋" w:hAnsi="仿宋" w:eastAsia="仿宋"/>
          <w:color w:val="000000" w:themeColor="text1"/>
          <w:szCs w:val="32"/>
          <w14:textFill>
            <w14:solidFill>
              <w14:schemeClr w14:val="tx1"/>
            </w14:solidFill>
          </w14:textFill>
        </w:rPr>
        <w:t>较上年增加 183.97万元，增长14.77%，主要原因是根据实际工作需要增加医护支出。</w:t>
      </w:r>
    </w:p>
    <w:p>
      <w:pPr>
        <w:ind w:firstLine="640" w:firstLineChars="200"/>
        <w:rPr>
          <w:rFonts w:ascii="黑体" w:hAnsi="黑体" w:eastAsia="黑体"/>
          <w:color w:val="000000" w:themeColor="text1"/>
          <w:szCs w:val="32"/>
          <w14:textFill>
            <w14:solidFill>
              <w14:schemeClr w14:val="tx1"/>
            </w14:solidFill>
          </w14:textFill>
        </w:rPr>
      </w:pPr>
      <w:r>
        <w:rPr>
          <w:rFonts w:hint="eastAsia" w:ascii="黑体" w:hAnsi="黑体" w:eastAsia="黑体"/>
          <w:color w:val="000000" w:themeColor="text1"/>
          <w:szCs w:val="32"/>
          <w14:textFill>
            <w14:solidFill>
              <w14:schemeClr w14:val="tx1"/>
            </w14:solidFill>
          </w14:textFill>
        </w:rPr>
        <w:t>三、一般公共预算基本支出情况</w:t>
      </w:r>
    </w:p>
    <w:p>
      <w:pPr>
        <w:ind w:firstLine="640" w:firstLineChars="200"/>
        <w:rPr>
          <w:rFonts w:ascii="仿宋" w:hAnsi="仿宋" w:eastAsia="仿宋"/>
          <w:color w:val="000000" w:themeColor="text1"/>
          <w:szCs w:val="32"/>
          <w14:textFill>
            <w14:solidFill>
              <w14:schemeClr w14:val="tx1"/>
            </w14:solidFill>
          </w14:textFill>
        </w:rPr>
      </w:pPr>
      <w:r>
        <w:rPr>
          <w:rFonts w:hint="eastAsia" w:ascii="仿宋" w:hAnsi="仿宋" w:eastAsia="仿宋"/>
          <w:color w:val="000000" w:themeColor="text1"/>
          <w:szCs w:val="32"/>
          <w14:textFill>
            <w14:solidFill>
              <w14:schemeClr w14:val="tx1"/>
            </w14:solidFill>
          </w14:textFill>
        </w:rPr>
        <w:t>2020年本部门一般公共预算基本支出</w:t>
      </w:r>
      <w:r>
        <w:rPr>
          <w:rFonts w:ascii="仿宋" w:hAnsi="仿宋" w:eastAsia="仿宋"/>
          <w:color w:val="000000" w:themeColor="text1"/>
          <w:szCs w:val="32"/>
          <w14:textFill>
            <w14:solidFill>
              <w14:schemeClr w14:val="tx1"/>
            </w14:solidFill>
          </w14:textFill>
        </w:rPr>
        <w:t>578.31</w:t>
      </w:r>
      <w:r>
        <w:rPr>
          <w:rFonts w:hint="eastAsia" w:ascii="仿宋" w:hAnsi="仿宋" w:eastAsia="仿宋"/>
          <w:color w:val="000000" w:themeColor="text1"/>
          <w:szCs w:val="32"/>
          <w14:textFill>
            <w14:solidFill>
              <w14:schemeClr w14:val="tx1"/>
            </w14:solidFill>
          </w14:textFill>
        </w:rPr>
        <w:t>万元，其中：人员经费</w:t>
      </w:r>
      <w:r>
        <w:rPr>
          <w:rFonts w:ascii="仿宋" w:hAnsi="仿宋" w:eastAsia="仿宋"/>
          <w:color w:val="000000" w:themeColor="text1"/>
          <w:szCs w:val="32"/>
          <w14:textFill>
            <w14:solidFill>
              <w14:schemeClr w14:val="tx1"/>
            </w14:solidFill>
          </w14:textFill>
        </w:rPr>
        <w:t>564.2</w:t>
      </w:r>
      <w:r>
        <w:rPr>
          <w:rFonts w:hint="eastAsia" w:ascii="仿宋" w:hAnsi="仿宋" w:eastAsia="仿宋"/>
          <w:color w:val="000000" w:themeColor="text1"/>
          <w:szCs w:val="32"/>
          <w14:textFill>
            <w14:solidFill>
              <w14:schemeClr w14:val="tx1"/>
            </w14:solidFill>
          </w14:textFill>
        </w:rPr>
        <w:t>万元，主要包括：基本工资、津贴补贴、绩效工资、机关事业单位基本养老保险缴费、医疗保险缴费、其他社会保障缴费、住房公积金；公用经费</w:t>
      </w:r>
      <w:r>
        <w:rPr>
          <w:rFonts w:ascii="仿宋" w:hAnsi="仿宋" w:eastAsia="仿宋"/>
          <w:color w:val="000000" w:themeColor="text1"/>
          <w:szCs w:val="32"/>
          <w14:textFill>
            <w14:solidFill>
              <w14:schemeClr w14:val="tx1"/>
            </w14:solidFill>
          </w14:textFill>
        </w:rPr>
        <w:t>14.11</w:t>
      </w:r>
      <w:r>
        <w:rPr>
          <w:rFonts w:hint="eastAsia" w:ascii="仿宋" w:hAnsi="仿宋" w:eastAsia="仿宋"/>
          <w:color w:val="000000" w:themeColor="text1"/>
          <w:szCs w:val="32"/>
          <w14:textFill>
            <w14:solidFill>
              <w14:schemeClr w14:val="tx1"/>
            </w14:solidFill>
          </w14:textFill>
        </w:rPr>
        <w:t>万元，主要包括其他商品和服务支出等。</w:t>
      </w:r>
    </w:p>
    <w:p>
      <w:pPr>
        <w:ind w:firstLine="640" w:firstLineChars="200"/>
        <w:rPr>
          <w:rFonts w:ascii="黑体" w:hAnsi="黑体" w:eastAsia="黑体"/>
          <w:color w:val="000000" w:themeColor="text1"/>
          <w:szCs w:val="32"/>
          <w14:textFill>
            <w14:solidFill>
              <w14:schemeClr w14:val="tx1"/>
            </w14:solidFill>
          </w14:textFill>
        </w:rPr>
      </w:pPr>
      <w:r>
        <w:rPr>
          <w:rFonts w:hint="eastAsia" w:ascii="黑体" w:hAnsi="黑体" w:eastAsia="黑体"/>
          <w:color w:val="000000" w:themeColor="text1"/>
          <w:szCs w:val="32"/>
          <w14:textFill>
            <w14:solidFill>
              <w14:schemeClr w14:val="tx1"/>
            </w14:solidFill>
          </w14:textFill>
        </w:rPr>
        <w:t>四、机关运行经费安排情况</w:t>
      </w:r>
    </w:p>
    <w:p>
      <w:pPr>
        <w:ind w:firstLine="640" w:firstLineChars="200"/>
        <w:rPr>
          <w:rFonts w:ascii="仿宋" w:hAnsi="仿宋" w:eastAsia="仿宋"/>
          <w:color w:val="000000" w:themeColor="text1"/>
          <w:szCs w:val="32"/>
          <w14:textFill>
            <w14:solidFill>
              <w14:schemeClr w14:val="tx1"/>
            </w14:solidFill>
          </w14:textFill>
        </w:rPr>
      </w:pPr>
      <w:r>
        <w:rPr>
          <w:rFonts w:ascii="仿宋" w:hAnsi="仿宋" w:eastAsia="仿宋"/>
          <w:color w:val="000000" w:themeColor="text1"/>
          <w:szCs w:val="32"/>
          <w14:textFill>
            <w14:solidFill>
              <w14:schemeClr w14:val="tx1"/>
            </w14:solidFill>
          </w14:textFill>
        </w:rPr>
        <w:t>20</w:t>
      </w:r>
      <w:r>
        <w:rPr>
          <w:rFonts w:hint="eastAsia" w:ascii="仿宋" w:hAnsi="仿宋" w:eastAsia="仿宋"/>
          <w:color w:val="000000" w:themeColor="text1"/>
          <w:szCs w:val="32"/>
          <w14:textFill>
            <w14:solidFill>
              <w14:schemeClr w14:val="tx1"/>
            </w14:solidFill>
          </w14:textFill>
        </w:rPr>
        <w:t>20年本部门机关运行经费安排</w:t>
      </w:r>
      <w:r>
        <w:rPr>
          <w:rFonts w:ascii="仿宋" w:hAnsi="仿宋" w:eastAsia="仿宋"/>
          <w:color w:val="000000" w:themeColor="text1"/>
          <w:szCs w:val="32"/>
          <w14:textFill>
            <w14:solidFill>
              <w14:schemeClr w14:val="tx1"/>
            </w14:solidFill>
          </w14:textFill>
        </w:rPr>
        <w:t>14.11</w:t>
      </w:r>
      <w:r>
        <w:rPr>
          <w:rFonts w:hint="eastAsia" w:ascii="仿宋" w:hAnsi="仿宋" w:eastAsia="仿宋"/>
          <w:color w:val="000000" w:themeColor="text1"/>
          <w:szCs w:val="32"/>
          <w14:textFill>
            <w14:solidFill>
              <w14:schemeClr w14:val="tx1"/>
            </w14:solidFill>
          </w14:textFill>
        </w:rPr>
        <w:t>万元，主要用于保障机关机构正常运转及正常履职需要的办公费、其他商品和服务支出等，与上年持平，主要原因是单位无人员变动，无运行费增减。</w:t>
      </w:r>
    </w:p>
    <w:p>
      <w:pPr>
        <w:ind w:firstLine="640" w:firstLineChars="200"/>
        <w:rPr>
          <w:rFonts w:ascii="黑体" w:hAnsi="黑体" w:eastAsia="黑体"/>
          <w:color w:val="000000" w:themeColor="text1"/>
          <w:szCs w:val="32"/>
          <w14:textFill>
            <w14:solidFill>
              <w14:schemeClr w14:val="tx1"/>
            </w14:solidFill>
          </w14:textFill>
        </w:rPr>
      </w:pPr>
      <w:r>
        <w:rPr>
          <w:rFonts w:hint="eastAsia" w:ascii="黑体" w:hAnsi="黑体" w:eastAsia="黑体"/>
          <w:color w:val="000000" w:themeColor="text1"/>
          <w:szCs w:val="32"/>
          <w14:textFill>
            <w14:solidFill>
              <w14:schemeClr w14:val="tx1"/>
            </w14:solidFill>
          </w14:textFill>
        </w:rPr>
        <w:t>五、“三公”经费安排情况</w:t>
      </w:r>
    </w:p>
    <w:p>
      <w:pPr>
        <w:ind w:firstLine="640" w:firstLineChars="200"/>
        <w:rPr>
          <w:rFonts w:ascii="仿宋" w:hAnsi="仿宋" w:eastAsia="仿宋"/>
          <w:color w:val="000000" w:themeColor="text1"/>
          <w:szCs w:val="32"/>
          <w14:textFill>
            <w14:solidFill>
              <w14:schemeClr w14:val="tx1"/>
            </w14:solidFill>
          </w14:textFill>
        </w:rPr>
      </w:pPr>
      <w:r>
        <w:rPr>
          <w:rFonts w:ascii="仿宋" w:hAnsi="仿宋" w:eastAsia="仿宋"/>
          <w:color w:val="000000" w:themeColor="text1"/>
          <w:szCs w:val="32"/>
          <w14:textFill>
            <w14:solidFill>
              <w14:schemeClr w14:val="tx1"/>
            </w14:solidFill>
          </w14:textFill>
        </w:rPr>
        <w:t>20</w:t>
      </w:r>
      <w:r>
        <w:rPr>
          <w:rFonts w:hint="eastAsia" w:ascii="仿宋" w:hAnsi="仿宋" w:eastAsia="仿宋"/>
          <w:color w:val="000000" w:themeColor="text1"/>
          <w:szCs w:val="32"/>
          <w14:textFill>
            <w14:solidFill>
              <w14:schemeClr w14:val="tx1"/>
            </w14:solidFill>
          </w14:textFill>
        </w:rPr>
        <w:t>20年本部门“三公”经费预算0万元，与上年持平，主要原因是深入贯彻落实厉行节约有关精神，严控“三公”经费支出。按照规定，本部门车辆运行经费来自本单位非税收入。</w:t>
      </w:r>
    </w:p>
    <w:p>
      <w:pPr>
        <w:ind w:firstLine="640" w:firstLineChars="200"/>
        <w:rPr>
          <w:rFonts w:ascii="仿宋" w:hAnsi="仿宋" w:eastAsia="仿宋"/>
          <w:color w:val="000000" w:themeColor="text1"/>
          <w:szCs w:val="32"/>
          <w14:textFill>
            <w14:solidFill>
              <w14:schemeClr w14:val="tx1"/>
            </w14:solidFill>
          </w14:textFill>
        </w:rPr>
      </w:pPr>
      <w:r>
        <w:rPr>
          <w:rFonts w:hint="eastAsia" w:ascii="仿宋" w:hAnsi="仿宋" w:eastAsia="仿宋"/>
          <w:color w:val="000000" w:themeColor="text1"/>
          <w:szCs w:val="32"/>
          <w14:textFill>
            <w14:solidFill>
              <w14:schemeClr w14:val="tx1"/>
            </w14:solidFill>
          </w14:textFill>
        </w:rPr>
        <w:t>1.因公出国（境）费0万元；</w:t>
      </w:r>
      <w:r>
        <w:rPr>
          <w:rFonts w:ascii="仿宋" w:hAnsi="仿宋" w:eastAsia="仿宋"/>
          <w:color w:val="000000" w:themeColor="text1"/>
          <w:szCs w:val="32"/>
          <w14:textFill>
            <w14:solidFill>
              <w14:schemeClr w14:val="tx1"/>
            </w14:solidFill>
          </w14:textFill>
        </w:rPr>
        <w:t xml:space="preserve"> </w:t>
      </w:r>
    </w:p>
    <w:p>
      <w:pPr>
        <w:ind w:firstLine="640" w:firstLineChars="200"/>
        <w:rPr>
          <w:rFonts w:ascii="仿宋" w:hAnsi="仿宋" w:eastAsia="仿宋"/>
          <w:color w:val="000000" w:themeColor="text1"/>
          <w:szCs w:val="32"/>
          <w14:textFill>
            <w14:solidFill>
              <w14:schemeClr w14:val="tx1"/>
            </w14:solidFill>
          </w14:textFill>
        </w:rPr>
      </w:pPr>
      <w:r>
        <w:rPr>
          <w:rFonts w:hint="eastAsia" w:ascii="仿宋" w:hAnsi="仿宋" w:eastAsia="仿宋"/>
          <w:color w:val="000000" w:themeColor="text1"/>
          <w:szCs w:val="32"/>
          <w14:textFill>
            <w14:solidFill>
              <w14:schemeClr w14:val="tx1"/>
            </w14:solidFill>
          </w14:textFill>
        </w:rPr>
        <w:t>2.公务用车购置及运行费0万元，其中：公务用车购置0万元，公务用车运行费0万元。</w:t>
      </w:r>
    </w:p>
    <w:p>
      <w:pPr>
        <w:ind w:firstLine="640" w:firstLineChars="200"/>
        <w:rPr>
          <w:rFonts w:ascii="仿宋" w:hAnsi="仿宋" w:eastAsia="仿宋"/>
          <w:color w:val="000000" w:themeColor="text1"/>
          <w:szCs w:val="32"/>
          <w14:textFill>
            <w14:solidFill>
              <w14:schemeClr w14:val="tx1"/>
            </w14:solidFill>
          </w14:textFill>
        </w:rPr>
      </w:pPr>
      <w:r>
        <w:rPr>
          <w:rFonts w:hint="eastAsia" w:ascii="仿宋" w:hAnsi="仿宋" w:eastAsia="仿宋"/>
          <w:color w:val="000000" w:themeColor="text1"/>
          <w:szCs w:val="32"/>
          <w14:textFill>
            <w14:solidFill>
              <w14:schemeClr w14:val="tx1"/>
            </w14:solidFill>
          </w14:textFill>
        </w:rPr>
        <w:t>3.公务接待费0万元。</w:t>
      </w:r>
    </w:p>
    <w:p>
      <w:pPr>
        <w:ind w:firstLine="640" w:firstLineChars="200"/>
        <w:rPr>
          <w:rFonts w:ascii="仿宋" w:hAnsi="仿宋" w:eastAsia="仿宋"/>
          <w:color w:val="000000" w:themeColor="text1"/>
          <w:szCs w:val="32"/>
          <w14:textFill>
            <w14:solidFill>
              <w14:schemeClr w14:val="tx1"/>
            </w14:solidFill>
          </w14:textFill>
        </w:rPr>
      </w:pPr>
      <w:r>
        <w:rPr>
          <w:rFonts w:hint="eastAsia" w:ascii="黑体" w:hAnsi="黑体" w:eastAsia="黑体"/>
          <w:color w:val="000000" w:themeColor="text1"/>
          <w:szCs w:val="32"/>
          <w14:textFill>
            <w14:solidFill>
              <w14:schemeClr w14:val="tx1"/>
            </w14:solidFill>
          </w14:textFill>
        </w:rPr>
        <w:t>六、政府采购安排情况</w:t>
      </w:r>
    </w:p>
    <w:p>
      <w:pPr>
        <w:ind w:firstLine="640" w:firstLineChars="200"/>
        <w:rPr>
          <w:rFonts w:ascii="仿宋" w:hAnsi="仿宋" w:eastAsia="仿宋"/>
          <w:color w:val="000000" w:themeColor="text1"/>
          <w:szCs w:val="32"/>
          <w14:textFill>
            <w14:solidFill>
              <w14:schemeClr w14:val="tx1"/>
            </w14:solidFill>
          </w14:textFill>
        </w:rPr>
      </w:pPr>
      <w:r>
        <w:rPr>
          <w:rFonts w:ascii="仿宋" w:hAnsi="仿宋" w:eastAsia="仿宋"/>
          <w:color w:val="000000" w:themeColor="text1"/>
          <w:szCs w:val="32"/>
          <w14:textFill>
            <w14:solidFill>
              <w14:schemeClr w14:val="tx1"/>
            </w14:solidFill>
          </w14:textFill>
        </w:rPr>
        <w:t>2020</w:t>
      </w:r>
      <w:r>
        <w:rPr>
          <w:rFonts w:hint="eastAsia" w:ascii="仿宋" w:hAnsi="仿宋" w:eastAsia="仿宋"/>
          <w:color w:val="000000" w:themeColor="text1"/>
          <w:szCs w:val="32"/>
          <w14:textFill>
            <w14:solidFill>
              <w14:schemeClr w14:val="tx1"/>
            </w14:solidFill>
          </w14:textFill>
        </w:rPr>
        <w:t>年本部门安排政府采购预算2</w:t>
      </w:r>
      <w:r>
        <w:rPr>
          <w:rFonts w:ascii="仿宋" w:hAnsi="仿宋" w:eastAsia="仿宋"/>
          <w:color w:val="000000" w:themeColor="text1"/>
          <w:szCs w:val="32"/>
          <w14:textFill>
            <w14:solidFill>
              <w14:schemeClr w14:val="tx1"/>
            </w14:solidFill>
          </w14:textFill>
        </w:rPr>
        <w:t>60</w:t>
      </w:r>
      <w:r>
        <w:rPr>
          <w:rFonts w:hint="eastAsia" w:ascii="仿宋" w:hAnsi="仿宋" w:eastAsia="仿宋"/>
          <w:color w:val="000000" w:themeColor="text1"/>
          <w:szCs w:val="32"/>
          <w14:textFill>
            <w14:solidFill>
              <w14:schemeClr w14:val="tx1"/>
            </w14:solidFill>
          </w14:textFill>
        </w:rPr>
        <w:t>万元，主要用于采购一台彩色多普勒超声设备。</w:t>
      </w:r>
    </w:p>
    <w:p>
      <w:pPr>
        <w:ind w:firstLine="640" w:firstLineChars="200"/>
        <w:rPr>
          <w:rFonts w:ascii="黑体" w:hAnsi="黑体" w:eastAsia="黑体"/>
          <w:color w:val="000000" w:themeColor="text1"/>
          <w:szCs w:val="32"/>
          <w14:textFill>
            <w14:solidFill>
              <w14:schemeClr w14:val="tx1"/>
            </w14:solidFill>
          </w14:textFill>
        </w:rPr>
      </w:pPr>
      <w:r>
        <w:rPr>
          <w:rFonts w:hint="eastAsia" w:ascii="黑体" w:hAnsi="黑体" w:eastAsia="黑体"/>
          <w:color w:val="000000" w:themeColor="text1"/>
          <w:szCs w:val="32"/>
          <w14:textFill>
            <w14:solidFill>
              <w14:schemeClr w14:val="tx1"/>
            </w14:solidFill>
          </w14:textFill>
        </w:rPr>
        <w:t>七、政府性基金预算安排情况</w:t>
      </w:r>
    </w:p>
    <w:p>
      <w:pPr>
        <w:ind w:firstLine="640" w:firstLineChars="200"/>
        <w:rPr>
          <w:rFonts w:ascii="仿宋" w:hAnsi="仿宋" w:eastAsia="仿宋" w:cs="Times New Roman"/>
          <w:sz w:val="32"/>
          <w:szCs w:val="32"/>
        </w:rPr>
      </w:pPr>
      <w:r>
        <w:rPr>
          <w:rFonts w:hint="eastAsia" w:ascii="仿宋" w:hAnsi="仿宋" w:eastAsia="仿宋" w:cs="仿宋"/>
          <w:sz w:val="32"/>
          <w:szCs w:val="32"/>
        </w:rPr>
        <w:t>本部门无政府性基金预算</w:t>
      </w:r>
      <w:r>
        <w:rPr>
          <w:rFonts w:hint="eastAsia" w:ascii="仿宋" w:hAnsi="仿宋" w:eastAsia="仿宋" w:cs="仿宋"/>
          <w:sz w:val="32"/>
          <w:szCs w:val="32"/>
          <w:lang w:val="en-US" w:eastAsia="zh-CN"/>
        </w:rPr>
        <w:t>收支</w:t>
      </w:r>
      <w:r>
        <w:rPr>
          <w:rFonts w:hint="eastAsia" w:ascii="仿宋" w:hAnsi="仿宋" w:eastAsia="仿宋" w:cs="仿宋"/>
          <w:sz w:val="32"/>
          <w:szCs w:val="32"/>
        </w:rPr>
        <w:t>安排</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较上年无变动</w:t>
      </w:r>
      <w:r>
        <w:rPr>
          <w:rFonts w:hint="eastAsia" w:ascii="仿宋" w:hAnsi="仿宋" w:eastAsia="仿宋" w:cs="仿宋"/>
          <w:sz w:val="32"/>
          <w:szCs w:val="32"/>
        </w:rPr>
        <w:t>。</w:t>
      </w:r>
    </w:p>
    <w:p>
      <w:pPr>
        <w:ind w:firstLine="640" w:firstLineChars="200"/>
        <w:rPr>
          <w:rFonts w:ascii="黑体" w:hAnsi="黑体" w:eastAsia="黑体"/>
          <w:color w:val="000000" w:themeColor="text1"/>
          <w:szCs w:val="32"/>
          <w14:textFill>
            <w14:solidFill>
              <w14:schemeClr w14:val="tx1"/>
            </w14:solidFill>
          </w14:textFill>
        </w:rPr>
      </w:pPr>
      <w:bookmarkStart w:id="0" w:name="_GoBack"/>
      <w:bookmarkEnd w:id="0"/>
      <w:r>
        <w:rPr>
          <w:rFonts w:hint="eastAsia" w:ascii="黑体" w:hAnsi="黑体" w:eastAsia="黑体"/>
          <w:color w:val="000000" w:themeColor="text1"/>
          <w:szCs w:val="32"/>
          <w14:textFill>
            <w14:solidFill>
              <w14:schemeClr w14:val="tx1"/>
            </w14:solidFill>
          </w14:textFill>
        </w:rPr>
        <w:t>八、</w:t>
      </w:r>
      <w:r>
        <w:rPr>
          <w:rFonts w:ascii="黑体" w:hAnsi="黑体" w:eastAsia="黑体"/>
          <w:color w:val="000000" w:themeColor="text1"/>
          <w:szCs w:val="32"/>
          <w14:textFill>
            <w14:solidFill>
              <w14:schemeClr w14:val="tx1"/>
            </w14:solidFill>
          </w14:textFill>
        </w:rPr>
        <w:t>国有资产占用情况</w:t>
      </w:r>
    </w:p>
    <w:p>
      <w:pPr>
        <w:ind w:firstLine="640" w:firstLineChars="200"/>
        <w:rPr>
          <w:rFonts w:ascii="仿宋" w:hAnsi="仿宋" w:eastAsia="仿宋"/>
          <w:color w:val="000000" w:themeColor="text1"/>
          <w:szCs w:val="32"/>
          <w14:textFill>
            <w14:solidFill>
              <w14:schemeClr w14:val="tx1"/>
            </w14:solidFill>
          </w14:textFill>
        </w:rPr>
      </w:pPr>
      <w:r>
        <w:rPr>
          <w:rFonts w:ascii="仿宋" w:hAnsi="仿宋" w:eastAsia="仿宋"/>
          <w:color w:val="000000" w:themeColor="text1"/>
          <w:szCs w:val="32"/>
          <w14:textFill>
            <w14:solidFill>
              <w14:schemeClr w14:val="tx1"/>
            </w14:solidFill>
          </w14:textFill>
        </w:rPr>
        <w:t>截止201</w:t>
      </w:r>
      <w:r>
        <w:rPr>
          <w:rFonts w:hint="eastAsia" w:ascii="仿宋" w:hAnsi="仿宋" w:eastAsia="仿宋"/>
          <w:color w:val="000000" w:themeColor="text1"/>
          <w:szCs w:val="32"/>
          <w14:textFill>
            <w14:solidFill>
              <w14:schemeClr w14:val="tx1"/>
            </w14:solidFill>
          </w14:textFill>
        </w:rPr>
        <w:t>9年末，本部门共有：房屋建筑物6500（平方、间）；车辆5辆，其中：一般公务用车3辆、一般执法执勤用车0辆、特种专业技术用车2辆，其他用车0辆，其他用车主要是0；单位价值</w:t>
      </w:r>
      <w:r>
        <w:rPr>
          <w:rFonts w:ascii="仿宋" w:hAnsi="仿宋" w:eastAsia="仿宋"/>
          <w:color w:val="000000" w:themeColor="text1"/>
          <w:szCs w:val="32"/>
          <w14:textFill>
            <w14:solidFill>
              <w14:schemeClr w14:val="tx1"/>
            </w14:solidFill>
          </w14:textFill>
        </w:rPr>
        <w:t>50</w:t>
      </w:r>
      <w:r>
        <w:rPr>
          <w:rFonts w:hint="eastAsia" w:ascii="仿宋" w:hAnsi="仿宋" w:eastAsia="仿宋"/>
          <w:color w:val="000000" w:themeColor="text1"/>
          <w:szCs w:val="32"/>
          <w14:textFill>
            <w14:solidFill>
              <w14:schemeClr w14:val="tx1"/>
            </w14:solidFill>
          </w14:textFill>
        </w:rPr>
        <w:t>万元以上通用设备5台（套），其中单位价值</w:t>
      </w:r>
      <w:r>
        <w:rPr>
          <w:rFonts w:ascii="仿宋" w:hAnsi="仿宋" w:eastAsia="仿宋"/>
          <w:color w:val="000000" w:themeColor="text1"/>
          <w:szCs w:val="32"/>
          <w14:textFill>
            <w14:solidFill>
              <w14:schemeClr w14:val="tx1"/>
            </w14:solidFill>
          </w14:textFill>
        </w:rPr>
        <w:t>100</w:t>
      </w:r>
      <w:r>
        <w:rPr>
          <w:rFonts w:hint="eastAsia" w:ascii="仿宋" w:hAnsi="仿宋" w:eastAsia="仿宋"/>
          <w:color w:val="000000" w:themeColor="text1"/>
          <w:szCs w:val="32"/>
          <w14:textFill>
            <w14:solidFill>
              <w14:schemeClr w14:val="tx1"/>
            </w14:solidFill>
          </w14:textFill>
        </w:rPr>
        <w:t>万元以上专用设备3台（套）。</w:t>
      </w:r>
    </w:p>
    <w:p>
      <w:pPr>
        <w:ind w:firstLine="640" w:firstLineChars="200"/>
        <w:rPr>
          <w:rFonts w:ascii="黑体" w:hAnsi="黑体" w:eastAsia="黑体"/>
          <w:color w:val="000000" w:themeColor="text1"/>
          <w:szCs w:val="32"/>
          <w14:textFill>
            <w14:solidFill>
              <w14:schemeClr w14:val="tx1"/>
            </w14:solidFill>
          </w14:textFill>
        </w:rPr>
      </w:pPr>
      <w:r>
        <w:rPr>
          <w:rFonts w:hint="eastAsia" w:ascii="黑体" w:hAnsi="黑体" w:eastAsia="黑体"/>
          <w:color w:val="000000" w:themeColor="text1"/>
          <w:szCs w:val="32"/>
          <w14:textFill>
            <w14:solidFill>
              <w14:schemeClr w14:val="tx1"/>
            </w14:solidFill>
          </w14:textFill>
        </w:rPr>
        <w:t>九、预算绩效管理工作开展情况</w:t>
      </w:r>
    </w:p>
    <w:p>
      <w:pPr>
        <w:ind w:firstLine="640" w:firstLineChars="200"/>
        <w:rPr>
          <w:rFonts w:ascii="仿宋" w:hAnsi="仿宋" w:eastAsia="仿宋"/>
          <w:color w:val="000000" w:themeColor="text1"/>
          <w:szCs w:val="32"/>
          <w14:textFill>
            <w14:solidFill>
              <w14:schemeClr w14:val="tx1"/>
            </w14:solidFill>
          </w14:textFill>
        </w:rPr>
      </w:pPr>
      <w:r>
        <w:rPr>
          <w:rFonts w:hint="eastAsia" w:ascii="仿宋" w:hAnsi="仿宋" w:eastAsia="仿宋"/>
          <w:color w:val="000000" w:themeColor="text1"/>
          <w:szCs w:val="32"/>
          <w14:textFill>
            <w14:solidFill>
              <w14:schemeClr w14:val="tx1"/>
            </w14:solidFill>
          </w14:textFill>
        </w:rPr>
        <w:t>按照《濮阳市华龙区财政局关于编制区级部门2020-2022年收支规划和2020年部门预算的通知》（华龙财〔2019〕108号）有关全面推进预算绩效管理方面的要求，本部门牢固树立“讲绩效、重绩效、用绩效”的绩效管理理念，年度预算申报时，针对政策及重点项目逐项设立并报送了预算绩效目标。绩效目标设定涉及</w:t>
      </w:r>
      <w:r>
        <w:rPr>
          <w:rFonts w:ascii="仿宋" w:hAnsi="仿宋" w:eastAsia="仿宋"/>
          <w:color w:val="000000" w:themeColor="text1"/>
          <w:szCs w:val="32"/>
          <w14:textFill>
            <w14:solidFill>
              <w14:schemeClr w14:val="tx1"/>
            </w14:solidFill>
          </w14:textFill>
        </w:rPr>
        <w:t>4</w:t>
      </w:r>
      <w:r>
        <w:rPr>
          <w:rFonts w:hint="eastAsia" w:ascii="仿宋" w:hAnsi="仿宋" w:eastAsia="仿宋"/>
          <w:color w:val="000000" w:themeColor="text1"/>
          <w:szCs w:val="32"/>
          <w14:textFill>
            <w14:solidFill>
              <w14:schemeClr w14:val="tx1"/>
            </w14:solidFill>
          </w14:textFill>
        </w:rPr>
        <w:t>个项目，</w:t>
      </w:r>
      <w:r>
        <w:rPr>
          <w:rFonts w:ascii="仿宋" w:hAnsi="仿宋" w:eastAsia="仿宋"/>
          <w:color w:val="000000" w:themeColor="text1"/>
          <w:szCs w:val="32"/>
          <w14:textFill>
            <w14:solidFill>
              <w14:schemeClr w14:val="tx1"/>
            </w14:solidFill>
          </w14:textFill>
        </w:rPr>
        <w:t>845</w:t>
      </w:r>
      <w:r>
        <w:rPr>
          <w:rFonts w:hint="eastAsia" w:ascii="仿宋" w:hAnsi="仿宋" w:eastAsia="仿宋"/>
          <w:color w:val="000000" w:themeColor="text1"/>
          <w:szCs w:val="32"/>
          <w14:textFill>
            <w14:solidFill>
              <w14:schemeClr w14:val="tx1"/>
            </w14:solidFill>
          </w14:textFill>
        </w:rPr>
        <w:t>万元，并将以此为基础开展后续预算绩效管理工作，努力建立健全以结果为导向的预算绩效管理工作机制。</w:t>
      </w:r>
    </w:p>
    <w:p>
      <w:pPr>
        <w:ind w:firstLine="640" w:firstLineChars="200"/>
        <w:rPr>
          <w:rFonts w:ascii="黑体" w:hAnsi="黑体" w:eastAsia="黑体"/>
          <w:color w:val="000000" w:themeColor="text1"/>
          <w:szCs w:val="32"/>
          <w14:textFill>
            <w14:solidFill>
              <w14:schemeClr w14:val="tx1"/>
            </w14:solidFill>
          </w14:textFill>
        </w:rPr>
      </w:pPr>
    </w:p>
    <w:p>
      <w:pPr>
        <w:ind w:firstLine="640" w:firstLineChars="200"/>
        <w:rPr>
          <w:rFonts w:ascii="黑体" w:hAnsi="黑体" w:eastAsia="黑体"/>
          <w:color w:val="000000" w:themeColor="text1"/>
          <w:szCs w:val="32"/>
          <w14:textFill>
            <w14:solidFill>
              <w14:schemeClr w14:val="tx1"/>
            </w14:solidFill>
          </w14:textFill>
        </w:rPr>
      </w:pPr>
    </w:p>
    <w:p>
      <w:pPr>
        <w:pStyle w:val="6"/>
        <w:topLinePunct/>
        <w:spacing w:before="0" w:beforeAutospacing="0" w:after="0" w:afterAutospacing="0" w:line="360" w:lineRule="auto"/>
        <w:jc w:val="center"/>
        <w:rPr>
          <w:rFonts w:ascii="Calibri" w:hAnsi="Calibri"/>
          <w:color w:val="000000" w:themeColor="text1"/>
          <w:sz w:val="22"/>
          <w:szCs w:val="21"/>
          <w14:textFill>
            <w14:solidFill>
              <w14:schemeClr w14:val="tx1"/>
            </w14:solidFill>
          </w14:textFill>
        </w:rPr>
      </w:pPr>
      <w:r>
        <w:rPr>
          <w:rFonts w:hint="eastAsia" w:ascii="黑体" w:hAnsi="黑体" w:eastAsia="黑体"/>
          <w:color w:val="000000" w:themeColor="text1"/>
          <w:sz w:val="36"/>
          <w:szCs w:val="32"/>
          <w14:textFill>
            <w14:solidFill>
              <w14:schemeClr w14:val="tx1"/>
            </w14:solidFill>
          </w14:textFill>
        </w:rPr>
        <w:t>第三部分</w:t>
      </w:r>
    </w:p>
    <w:p>
      <w:pPr>
        <w:pStyle w:val="6"/>
        <w:topLinePunct/>
        <w:spacing w:before="0" w:beforeAutospacing="0" w:after="0" w:afterAutospacing="0" w:line="360" w:lineRule="auto"/>
        <w:jc w:val="center"/>
        <w:rPr>
          <w:rFonts w:ascii="Calibri" w:hAnsi="Calibri"/>
          <w:color w:val="000000" w:themeColor="text1"/>
          <w:sz w:val="22"/>
          <w:szCs w:val="21"/>
          <w14:textFill>
            <w14:solidFill>
              <w14:schemeClr w14:val="tx1"/>
            </w14:solidFill>
          </w14:textFill>
        </w:rPr>
      </w:pPr>
      <w:r>
        <w:rPr>
          <w:rFonts w:hint="eastAsia" w:ascii="黑体" w:hAnsi="黑体" w:eastAsia="黑体"/>
          <w:color w:val="000000" w:themeColor="text1"/>
          <w:sz w:val="36"/>
          <w:szCs w:val="32"/>
          <w14:textFill>
            <w14:solidFill>
              <w14:schemeClr w14:val="tx1"/>
            </w14:solidFill>
          </w14:textFill>
        </w:rPr>
        <w:t>名词解释</w:t>
      </w:r>
    </w:p>
    <w:p>
      <w:pPr>
        <w:ind w:firstLine="640" w:firstLineChars="200"/>
        <w:rPr>
          <w:rFonts w:ascii="仿宋" w:hAnsi="仿宋" w:eastAsia="仿宋"/>
          <w:color w:val="000000" w:themeColor="text1"/>
          <w:szCs w:val="32"/>
          <w14:textFill>
            <w14:solidFill>
              <w14:schemeClr w14:val="tx1"/>
            </w14:solidFill>
          </w14:textFill>
        </w:rPr>
      </w:pPr>
    </w:p>
    <w:p>
      <w:pPr>
        <w:ind w:firstLine="640"/>
        <w:rPr>
          <w:rFonts w:ascii="黑体" w:hAnsi="黑体" w:eastAsia="黑体"/>
          <w:color w:val="000000" w:themeColor="text1"/>
          <w:szCs w:val="32"/>
          <w14:textFill>
            <w14:solidFill>
              <w14:schemeClr w14:val="tx1"/>
            </w14:solidFill>
          </w14:textFill>
        </w:rPr>
      </w:pPr>
      <w:r>
        <w:rPr>
          <w:rFonts w:hint="eastAsia" w:ascii="黑体" w:hAnsi="黑体" w:eastAsia="黑体"/>
          <w:color w:val="000000" w:themeColor="text1"/>
          <w:szCs w:val="32"/>
          <w14:textFill>
            <w14:solidFill>
              <w14:schemeClr w14:val="tx1"/>
            </w14:solidFill>
          </w14:textFill>
        </w:rPr>
        <w:t>一、财政拨款收入</w:t>
      </w:r>
    </w:p>
    <w:p>
      <w:pPr>
        <w:ind w:firstLine="640"/>
        <w:rPr>
          <w:rFonts w:ascii="仿宋" w:hAnsi="仿宋" w:eastAsia="仿宋"/>
          <w:color w:val="000000" w:themeColor="text1"/>
          <w:szCs w:val="32"/>
          <w14:textFill>
            <w14:solidFill>
              <w14:schemeClr w14:val="tx1"/>
            </w14:solidFill>
          </w14:textFill>
        </w:rPr>
      </w:pPr>
      <w:r>
        <w:rPr>
          <w:rFonts w:hint="eastAsia" w:ascii="仿宋" w:hAnsi="仿宋" w:eastAsia="仿宋"/>
          <w:color w:val="000000" w:themeColor="text1"/>
          <w:szCs w:val="32"/>
          <w14:textFill>
            <w14:solidFill>
              <w14:schemeClr w14:val="tx1"/>
            </w14:solidFill>
          </w14:textFill>
        </w:rPr>
        <w:t>指本级财政当年拨付的资金。</w:t>
      </w:r>
    </w:p>
    <w:p>
      <w:pPr>
        <w:ind w:firstLine="640"/>
        <w:rPr>
          <w:rFonts w:ascii="黑体" w:hAnsi="黑体" w:eastAsia="黑体"/>
          <w:color w:val="000000" w:themeColor="text1"/>
          <w:szCs w:val="32"/>
          <w14:textFill>
            <w14:solidFill>
              <w14:schemeClr w14:val="tx1"/>
            </w14:solidFill>
          </w14:textFill>
        </w:rPr>
      </w:pPr>
      <w:r>
        <w:rPr>
          <w:rFonts w:hint="eastAsia" w:ascii="黑体" w:hAnsi="黑体" w:eastAsia="黑体"/>
          <w:color w:val="000000" w:themeColor="text1"/>
          <w:szCs w:val="32"/>
          <w14:textFill>
            <w14:solidFill>
              <w14:schemeClr w14:val="tx1"/>
            </w14:solidFill>
          </w14:textFill>
        </w:rPr>
        <w:t>二、事业收入</w:t>
      </w:r>
    </w:p>
    <w:p>
      <w:pPr>
        <w:ind w:firstLine="640" w:firstLineChars="200"/>
        <w:rPr>
          <w:rFonts w:ascii="仿宋" w:hAnsi="仿宋" w:eastAsia="仿宋"/>
          <w:color w:val="000000" w:themeColor="text1"/>
          <w:szCs w:val="32"/>
          <w14:textFill>
            <w14:solidFill>
              <w14:schemeClr w14:val="tx1"/>
            </w14:solidFill>
          </w14:textFill>
        </w:rPr>
      </w:pPr>
      <w:r>
        <w:rPr>
          <w:rFonts w:hint="eastAsia" w:ascii="仿宋" w:hAnsi="仿宋" w:eastAsia="仿宋"/>
          <w:color w:val="000000" w:themeColor="text1"/>
          <w:szCs w:val="32"/>
          <w14:textFill>
            <w14:solidFill>
              <w14:schemeClr w14:val="tx1"/>
            </w14:solidFill>
          </w14:textFill>
        </w:rPr>
        <w:t>指事业单位开展专务活动及辅助所取得的收入。</w:t>
      </w:r>
    </w:p>
    <w:p>
      <w:pPr>
        <w:ind w:firstLine="640"/>
        <w:rPr>
          <w:rFonts w:ascii="黑体" w:hAnsi="黑体" w:eastAsia="黑体"/>
          <w:color w:val="000000" w:themeColor="text1"/>
          <w:szCs w:val="32"/>
          <w14:textFill>
            <w14:solidFill>
              <w14:schemeClr w14:val="tx1"/>
            </w14:solidFill>
          </w14:textFill>
        </w:rPr>
      </w:pPr>
      <w:r>
        <w:rPr>
          <w:rFonts w:hint="eastAsia" w:ascii="黑体" w:hAnsi="黑体" w:eastAsia="黑体"/>
          <w:color w:val="000000" w:themeColor="text1"/>
          <w:szCs w:val="32"/>
          <w14:textFill>
            <w14:solidFill>
              <w14:schemeClr w14:val="tx1"/>
            </w14:solidFill>
          </w14:textFill>
        </w:rPr>
        <w:t>三、其他收入</w:t>
      </w:r>
    </w:p>
    <w:p>
      <w:pPr>
        <w:ind w:firstLine="640" w:firstLineChars="200"/>
        <w:rPr>
          <w:rFonts w:ascii="仿宋" w:hAnsi="仿宋" w:eastAsia="仿宋"/>
          <w:color w:val="000000" w:themeColor="text1"/>
          <w:szCs w:val="32"/>
          <w14:textFill>
            <w14:solidFill>
              <w14:schemeClr w14:val="tx1"/>
            </w14:solidFill>
          </w14:textFill>
        </w:rPr>
      </w:pPr>
      <w:r>
        <w:rPr>
          <w:rFonts w:hint="eastAsia" w:ascii="仿宋" w:hAnsi="仿宋" w:eastAsia="仿宋"/>
          <w:color w:val="000000" w:themeColor="text1"/>
          <w:szCs w:val="32"/>
          <w14:textFill>
            <w14:solidFill>
              <w14:schemeClr w14:val="tx1"/>
            </w14:solidFill>
          </w14:textFill>
        </w:rPr>
        <w:t>指除“财政拨款”、“事业收入”、“事业单位经营收入”、“附属单位上缴收入”等以外的收入。</w:t>
      </w:r>
    </w:p>
    <w:p>
      <w:pPr>
        <w:ind w:firstLine="640"/>
        <w:rPr>
          <w:rFonts w:ascii="黑体" w:hAnsi="黑体" w:eastAsia="黑体"/>
          <w:color w:val="000000" w:themeColor="text1"/>
          <w:szCs w:val="32"/>
          <w14:textFill>
            <w14:solidFill>
              <w14:schemeClr w14:val="tx1"/>
            </w14:solidFill>
          </w14:textFill>
        </w:rPr>
      </w:pPr>
      <w:r>
        <w:rPr>
          <w:rFonts w:hint="eastAsia" w:ascii="黑体" w:hAnsi="黑体" w:eastAsia="黑体"/>
          <w:color w:val="000000" w:themeColor="text1"/>
          <w:szCs w:val="32"/>
          <w14:textFill>
            <w14:solidFill>
              <w14:schemeClr w14:val="tx1"/>
            </w14:solidFill>
          </w14:textFill>
        </w:rPr>
        <w:t>四、基本支出</w:t>
      </w:r>
    </w:p>
    <w:p>
      <w:pPr>
        <w:ind w:firstLine="640" w:firstLineChars="200"/>
        <w:rPr>
          <w:rFonts w:ascii="仿宋" w:hAnsi="仿宋" w:eastAsia="仿宋"/>
          <w:color w:val="000000" w:themeColor="text1"/>
          <w:szCs w:val="32"/>
          <w14:textFill>
            <w14:solidFill>
              <w14:schemeClr w14:val="tx1"/>
            </w14:solidFill>
          </w14:textFill>
        </w:rPr>
      </w:pPr>
      <w:r>
        <w:rPr>
          <w:rFonts w:hint="eastAsia" w:ascii="仿宋" w:hAnsi="仿宋" w:eastAsia="仿宋"/>
          <w:color w:val="000000" w:themeColor="text1"/>
          <w:szCs w:val="32"/>
          <w14:textFill>
            <w14:solidFill>
              <w14:schemeClr w14:val="tx1"/>
            </w14:solidFill>
          </w14:textFill>
        </w:rPr>
        <w:t>指为保障机构正常运转、完成日常工作任务所必需的开支，其内容包括人员经费和日常公用经费两部分。</w:t>
      </w:r>
    </w:p>
    <w:p>
      <w:pPr>
        <w:ind w:firstLine="640"/>
        <w:rPr>
          <w:rFonts w:ascii="黑体" w:hAnsi="黑体" w:eastAsia="黑体"/>
          <w:color w:val="000000" w:themeColor="text1"/>
          <w:szCs w:val="32"/>
          <w14:textFill>
            <w14:solidFill>
              <w14:schemeClr w14:val="tx1"/>
            </w14:solidFill>
          </w14:textFill>
        </w:rPr>
      </w:pPr>
      <w:r>
        <w:rPr>
          <w:rFonts w:hint="eastAsia" w:ascii="黑体" w:hAnsi="黑体" w:eastAsia="黑体"/>
          <w:color w:val="000000" w:themeColor="text1"/>
          <w:szCs w:val="32"/>
          <w14:textFill>
            <w14:solidFill>
              <w14:schemeClr w14:val="tx1"/>
            </w14:solidFill>
          </w14:textFill>
        </w:rPr>
        <w:t>五、项目支出</w:t>
      </w:r>
    </w:p>
    <w:p>
      <w:pPr>
        <w:ind w:firstLine="640" w:firstLineChars="200"/>
        <w:rPr>
          <w:rFonts w:ascii="仿宋" w:hAnsi="仿宋" w:eastAsia="仿宋"/>
          <w:color w:val="000000" w:themeColor="text1"/>
          <w:szCs w:val="32"/>
          <w14:textFill>
            <w14:solidFill>
              <w14:schemeClr w14:val="tx1"/>
            </w14:solidFill>
          </w14:textFill>
        </w:rPr>
      </w:pPr>
      <w:r>
        <w:rPr>
          <w:rFonts w:hint="eastAsia" w:ascii="仿宋" w:hAnsi="仿宋" w:eastAsia="仿宋"/>
          <w:color w:val="000000" w:themeColor="text1"/>
          <w:szCs w:val="32"/>
          <w14:textFill>
            <w14:solidFill>
              <w14:schemeClr w14:val="tx1"/>
            </w14:solidFill>
          </w14:textFill>
        </w:rPr>
        <w:t>指在基本支出之外，为完成特定的行政工作任务或事业发展目标所发生的支出。</w:t>
      </w:r>
    </w:p>
    <w:p>
      <w:pPr>
        <w:ind w:firstLine="640"/>
        <w:rPr>
          <w:rFonts w:ascii="黑体" w:hAnsi="黑体" w:eastAsia="黑体"/>
          <w:color w:val="000000" w:themeColor="text1"/>
          <w:szCs w:val="32"/>
          <w14:textFill>
            <w14:solidFill>
              <w14:schemeClr w14:val="tx1"/>
            </w14:solidFill>
          </w14:textFill>
        </w:rPr>
      </w:pPr>
      <w:r>
        <w:rPr>
          <w:rFonts w:hint="eastAsia" w:ascii="黑体" w:hAnsi="黑体" w:eastAsia="黑体"/>
          <w:color w:val="000000" w:themeColor="text1"/>
          <w:szCs w:val="32"/>
          <w14:textFill>
            <w14:solidFill>
              <w14:schemeClr w14:val="tx1"/>
            </w14:solidFill>
          </w14:textFill>
        </w:rPr>
        <w:t>六、机关运行经费</w:t>
      </w:r>
    </w:p>
    <w:p>
      <w:pPr>
        <w:ind w:firstLine="640" w:firstLineChars="200"/>
        <w:rPr>
          <w:rFonts w:ascii="仿宋" w:hAnsi="仿宋" w:eastAsia="仿宋"/>
          <w:color w:val="000000" w:themeColor="text1"/>
          <w:szCs w:val="32"/>
          <w14:textFill>
            <w14:solidFill>
              <w14:schemeClr w14:val="tx1"/>
            </w14:solidFill>
          </w14:textFill>
        </w:rPr>
      </w:pPr>
      <w:r>
        <w:rPr>
          <w:rFonts w:hint="eastAsia" w:ascii="仿宋" w:hAnsi="仿宋" w:eastAsia="仿宋"/>
          <w:color w:val="000000" w:themeColor="text1"/>
          <w:szCs w:val="32"/>
          <w14:textFill>
            <w14:solidFill>
              <w14:schemeClr w14:val="tx1"/>
            </w14:solidFill>
          </w14:textFill>
        </w:rPr>
        <w:t>指为保障行政单位（含参照公务员法管理的事业单位）正常运转及正常履职需要的支出，包括办公费、印刷费、“三公”经费、差旅费、会议费、日常维修费、办公用房水电费、办公用房取暖费、办公用房物业管理费、公务用车运行维护费以及其他费用。</w:t>
      </w:r>
    </w:p>
    <w:p>
      <w:pPr>
        <w:ind w:firstLine="640"/>
        <w:rPr>
          <w:rFonts w:ascii="黑体" w:hAnsi="黑体" w:eastAsia="黑体"/>
          <w:color w:val="000000" w:themeColor="text1"/>
          <w:szCs w:val="32"/>
          <w14:textFill>
            <w14:solidFill>
              <w14:schemeClr w14:val="tx1"/>
            </w14:solidFill>
          </w14:textFill>
        </w:rPr>
      </w:pPr>
      <w:r>
        <w:rPr>
          <w:rFonts w:hint="eastAsia" w:ascii="黑体" w:hAnsi="黑体" w:eastAsia="黑体"/>
          <w:color w:val="000000" w:themeColor="text1"/>
          <w:szCs w:val="32"/>
          <w14:textFill>
            <w14:solidFill>
              <w14:schemeClr w14:val="tx1"/>
            </w14:solidFill>
          </w14:textFill>
        </w:rPr>
        <w:t>七、“三公”经费</w:t>
      </w:r>
    </w:p>
    <w:p>
      <w:pPr>
        <w:ind w:firstLine="640" w:firstLineChars="200"/>
        <w:rPr>
          <w:rFonts w:ascii="仿宋" w:hAnsi="仿宋" w:eastAsia="仿宋"/>
          <w:color w:val="000000" w:themeColor="text1"/>
          <w:szCs w:val="32"/>
          <w14:textFill>
            <w14:solidFill>
              <w14:schemeClr w14:val="tx1"/>
            </w14:solidFill>
          </w14:textFill>
        </w:rPr>
      </w:pPr>
      <w:r>
        <w:rPr>
          <w:rFonts w:hint="eastAsia" w:ascii="仿宋" w:hAnsi="仿宋" w:eastAsia="仿宋"/>
          <w:color w:val="000000" w:themeColor="text1"/>
          <w:szCs w:val="32"/>
          <w14:textFill>
            <w14:solidFill>
              <w14:schemeClr w14:val="tx1"/>
            </w14:solidFill>
          </w14:textFill>
        </w:rPr>
        <w:t>指纳入本级财政预决算管理，本级部门使用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接待支出。</w:t>
      </w:r>
    </w:p>
    <w:p>
      <w:pPr>
        <w:ind w:firstLine="640"/>
        <w:rPr>
          <w:rFonts w:ascii="黑体" w:hAnsi="黑体" w:eastAsia="黑体"/>
          <w:color w:val="000000" w:themeColor="text1"/>
          <w:szCs w:val="32"/>
          <w14:textFill>
            <w14:solidFill>
              <w14:schemeClr w14:val="tx1"/>
            </w14:solidFill>
          </w14:textFill>
        </w:rPr>
      </w:pPr>
      <w:r>
        <w:rPr>
          <w:rFonts w:hint="eastAsia" w:ascii="黑体" w:hAnsi="黑体" w:eastAsia="黑体"/>
          <w:color w:val="000000" w:themeColor="text1"/>
          <w:szCs w:val="32"/>
          <w14:textFill>
            <w14:solidFill>
              <w14:schemeClr w14:val="tx1"/>
            </w14:solidFill>
          </w14:textFill>
        </w:rPr>
        <w:t>八、其他</w:t>
      </w:r>
    </w:p>
    <w:p>
      <w:pPr>
        <w:ind w:firstLine="640"/>
        <w:rPr>
          <w:rFonts w:ascii="仿宋" w:hAnsi="仿宋" w:eastAsia="仿宋"/>
          <w:color w:val="000000" w:themeColor="text1"/>
          <w:szCs w:val="32"/>
          <w14:textFill>
            <w14:solidFill>
              <w14:schemeClr w14:val="tx1"/>
            </w14:solidFill>
          </w14:textFill>
        </w:rPr>
      </w:pPr>
      <w:r>
        <w:rPr>
          <w:rFonts w:hint="eastAsia" w:ascii="仿宋" w:hAnsi="仿宋" w:eastAsia="仿宋"/>
          <w:color w:val="000000" w:themeColor="text1"/>
          <w:szCs w:val="32"/>
          <w14:textFill>
            <w14:solidFill>
              <w14:schemeClr w14:val="tx1"/>
            </w14:solidFill>
          </w14:textFill>
        </w:rPr>
        <w:t>彩色多普勒超声：又称B超、彩超，是一种医用设备，适用于全身各部位脏器超声检查尤其适用于心脏、肢体血管和浅表器官以及腹部、妇产等检查诊断。</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方正小标宋简体">
    <w:altName w:val="黑体"/>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Pr>
                              <w:sz w:val="21"/>
                              <w:szCs w:val="21"/>
                            </w:rPr>
                            <w:t>- 10 -</w:t>
                          </w:r>
                          <w:r>
                            <w:rPr>
                              <w:rFonts w:hint="eastAsia"/>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4"/>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Pr>
                        <w:sz w:val="21"/>
                        <w:szCs w:val="21"/>
                      </w:rPr>
                      <w:t>- 10 -</w:t>
                    </w:r>
                    <w:r>
                      <w:rPr>
                        <w:rFonts w:hint="eastAsia"/>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FAC"/>
    <w:rsid w:val="000B392C"/>
    <w:rsid w:val="0011287E"/>
    <w:rsid w:val="00125FAC"/>
    <w:rsid w:val="00127F6F"/>
    <w:rsid w:val="001356BF"/>
    <w:rsid w:val="00162A29"/>
    <w:rsid w:val="001852DE"/>
    <w:rsid w:val="001965F5"/>
    <w:rsid w:val="00196E05"/>
    <w:rsid w:val="001B31A3"/>
    <w:rsid w:val="00207623"/>
    <w:rsid w:val="0024750C"/>
    <w:rsid w:val="002A397A"/>
    <w:rsid w:val="00334DFB"/>
    <w:rsid w:val="00373129"/>
    <w:rsid w:val="00377211"/>
    <w:rsid w:val="003838FD"/>
    <w:rsid w:val="003C0C15"/>
    <w:rsid w:val="003F5C40"/>
    <w:rsid w:val="004734E9"/>
    <w:rsid w:val="004A3479"/>
    <w:rsid w:val="004E79D5"/>
    <w:rsid w:val="0051511D"/>
    <w:rsid w:val="00583109"/>
    <w:rsid w:val="005C4BFD"/>
    <w:rsid w:val="005E427E"/>
    <w:rsid w:val="0060448E"/>
    <w:rsid w:val="00612ECF"/>
    <w:rsid w:val="00762448"/>
    <w:rsid w:val="00784F20"/>
    <w:rsid w:val="007B77F3"/>
    <w:rsid w:val="007C16EE"/>
    <w:rsid w:val="007C5FD2"/>
    <w:rsid w:val="00845860"/>
    <w:rsid w:val="008A08E8"/>
    <w:rsid w:val="008A2F34"/>
    <w:rsid w:val="008D7DD2"/>
    <w:rsid w:val="008E57A8"/>
    <w:rsid w:val="008E5A04"/>
    <w:rsid w:val="00905E4D"/>
    <w:rsid w:val="00925F66"/>
    <w:rsid w:val="0093242A"/>
    <w:rsid w:val="00975602"/>
    <w:rsid w:val="00976444"/>
    <w:rsid w:val="009A1FE2"/>
    <w:rsid w:val="00A02B5D"/>
    <w:rsid w:val="00AC1736"/>
    <w:rsid w:val="00B62460"/>
    <w:rsid w:val="00BC0D2F"/>
    <w:rsid w:val="00C15DCD"/>
    <w:rsid w:val="00C56A03"/>
    <w:rsid w:val="00CD06F2"/>
    <w:rsid w:val="00D2347A"/>
    <w:rsid w:val="00D56ECE"/>
    <w:rsid w:val="00DA4FD4"/>
    <w:rsid w:val="00DF06AF"/>
    <w:rsid w:val="00DF74F4"/>
    <w:rsid w:val="00E56EAF"/>
    <w:rsid w:val="00E72D14"/>
    <w:rsid w:val="00F34146"/>
    <w:rsid w:val="00F97444"/>
    <w:rsid w:val="00FC2311"/>
    <w:rsid w:val="00FD4637"/>
    <w:rsid w:val="00FE26A6"/>
    <w:rsid w:val="062939D6"/>
    <w:rsid w:val="257A0287"/>
    <w:rsid w:val="2A442308"/>
    <w:rsid w:val="326E5FA5"/>
    <w:rsid w:val="35207031"/>
    <w:rsid w:val="537D4091"/>
    <w:rsid w:val="68C931BE"/>
    <w:rsid w:val="7D1244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eastAsia="仿宋_GB2312" w:hAnsiTheme="minorHAnsi" w:cstheme="minorBidi"/>
      <w:kern w:val="2"/>
      <w:sz w:val="32"/>
      <w:szCs w:val="22"/>
      <w:lang w:val="en-US" w:eastAsia="zh-CN" w:bidi="ar-SA"/>
    </w:rPr>
  </w:style>
  <w:style w:type="paragraph" w:styleId="2">
    <w:name w:val="heading 1"/>
    <w:basedOn w:val="1"/>
    <w:next w:val="1"/>
    <w:link w:val="9"/>
    <w:qFormat/>
    <w:uiPriority w:val="9"/>
    <w:pPr>
      <w:jc w:val="center"/>
      <w:outlineLvl w:val="0"/>
    </w:pPr>
    <w:rPr>
      <w:rFonts w:ascii="方正小标宋_GBK" w:eastAsia="方正小标宋_GBK"/>
      <w:sz w:val="44"/>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alloon Text"/>
    <w:basedOn w:val="1"/>
    <w:link w:val="13"/>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9">
    <w:name w:val="标题 1 字符"/>
    <w:basedOn w:val="8"/>
    <w:link w:val="2"/>
    <w:qFormat/>
    <w:uiPriority w:val="9"/>
    <w:rPr>
      <w:rFonts w:ascii="方正小标宋_GBK" w:eastAsia="方正小标宋_GBK"/>
      <w:sz w:val="44"/>
    </w:rPr>
  </w:style>
  <w:style w:type="character" w:customStyle="1" w:styleId="10">
    <w:name w:val="页眉 字符"/>
    <w:basedOn w:val="8"/>
    <w:link w:val="5"/>
    <w:qFormat/>
    <w:uiPriority w:val="99"/>
    <w:rPr>
      <w:rFonts w:ascii="仿宋_GB2312" w:eastAsia="仿宋_GB2312"/>
      <w:sz w:val="18"/>
      <w:szCs w:val="18"/>
    </w:rPr>
  </w:style>
  <w:style w:type="character" w:customStyle="1" w:styleId="11">
    <w:name w:val="页脚 字符"/>
    <w:basedOn w:val="8"/>
    <w:link w:val="4"/>
    <w:qFormat/>
    <w:uiPriority w:val="99"/>
    <w:rPr>
      <w:rFonts w:ascii="仿宋_GB2312" w:eastAsia="仿宋_GB2312"/>
      <w:sz w:val="18"/>
      <w:szCs w:val="18"/>
    </w:rPr>
  </w:style>
  <w:style w:type="paragraph" w:styleId="12">
    <w:name w:val="List Paragraph"/>
    <w:basedOn w:val="1"/>
    <w:qFormat/>
    <w:uiPriority w:val="34"/>
    <w:pPr>
      <w:ind w:firstLine="420" w:firstLineChars="200"/>
    </w:pPr>
  </w:style>
  <w:style w:type="character" w:customStyle="1" w:styleId="13">
    <w:name w:val="批注框文本 字符"/>
    <w:basedOn w:val="8"/>
    <w:link w:val="3"/>
    <w:semiHidden/>
    <w:uiPriority w:val="99"/>
    <w:rPr>
      <w:rFonts w:ascii="仿宋_GB2312" w:eastAsia="仿宋_GB231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342</Words>
  <Characters>1954</Characters>
  <Lines>16</Lines>
  <Paragraphs>4</Paragraphs>
  <TotalTime>0</TotalTime>
  <ScaleCrop>false</ScaleCrop>
  <LinksUpToDate>false</LinksUpToDate>
  <CharactersWithSpaces>2292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2020-03-03T01:56:00Z</dcterms:created>
  <dc:creator>ys-pc</dc:creator>
  <cp:lastModifiedBy>Administrator</cp:lastModifiedBy>
  <cp:lastPrinted>2020-03-03T07:59:00Z</cp:lastPrinted>
  <dcterms:modified xsi:type="dcterms:W3CDTF">2020-12-14T07:40:17Z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