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jc w:val="center"/>
        <w:rPr>
          <w:rFonts w:ascii="方正小标宋简体" w:hAnsi="方正小标宋简体" w:eastAsia="方正小标宋简体" w:cs="方正小标宋简体"/>
          <w:spacing w:val="-20"/>
          <w:sz w:val="44"/>
        </w:rPr>
      </w:pPr>
      <w:r>
        <w:rPr>
          <w:rFonts w:hint="eastAsia" w:ascii="方正小标宋简体" w:hAnsi="方正小标宋简体" w:eastAsia="方正小标宋简体" w:cs="方正小标宋简体"/>
          <w:w w:val="85"/>
          <w:sz w:val="56"/>
        </w:rPr>
        <w:t>濮阳市华龙区人力资源和社会保障局</w:t>
      </w:r>
      <w:r>
        <w:rPr>
          <w:rFonts w:hint="eastAsia" w:ascii="方正小标宋简体" w:hAnsi="方正小标宋简体" w:eastAsia="方正小标宋简体" w:cs="方正小标宋简体"/>
          <w:color w:val="FF0000"/>
          <w:w w:val="85"/>
          <w:sz w:val="56"/>
        </w:rPr>
        <w:t xml:space="preserve">     </w:t>
      </w:r>
      <w:r>
        <w:rPr>
          <w:rFonts w:hint="eastAsia" w:ascii="方正小标宋简体" w:hAnsi="方正小标宋简体" w:eastAsia="方正小标宋简体" w:cs="方正小标宋简体"/>
          <w:w w:val="85"/>
          <w:sz w:val="56"/>
        </w:rPr>
        <w:t>2020年部门预算公开说明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hint="eastAsia" w:ascii="方正小标宋_GBK" w:eastAsia="方正小标宋_GBK"/>
          <w:sz w:val="40"/>
        </w:rPr>
      </w:pPr>
    </w:p>
    <w:p>
      <w:pPr>
        <w:jc w:val="center"/>
        <w:rPr>
          <w:rFonts w:ascii="方正小标宋_GBK" w:eastAsia="方正小标宋_GBK"/>
          <w:sz w:val="40"/>
        </w:rPr>
      </w:pPr>
    </w:p>
    <w:p>
      <w:pPr>
        <w:tabs>
          <w:tab w:val="left" w:pos="3373"/>
        </w:tabs>
        <w:jc w:val="left"/>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sz w:val="44"/>
          <w:szCs w:val="32"/>
        </w:rPr>
      </w:pPr>
    </w:p>
    <w:p>
      <w:pPr>
        <w:pStyle w:val="6"/>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附件：濮阳市</w:t>
      </w:r>
      <w:r>
        <w:rPr>
          <w:rFonts w:hint="eastAsia" w:ascii="黑体" w:hAnsi="黑体" w:eastAsia="黑体"/>
          <w:sz w:val="32"/>
          <w:szCs w:val="32"/>
        </w:rPr>
        <w:t>华龙区</w:t>
      </w:r>
      <w:r>
        <w:rPr>
          <w:rFonts w:hint="eastAsia" w:ascii="黑体" w:hAnsi="黑体" w:eastAsia="黑体"/>
          <w:color w:val="000000"/>
          <w:sz w:val="32"/>
          <w:szCs w:val="32"/>
        </w:rPr>
        <w:t>人力资源和社会保障局2020年部门预算表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ind w:firstLine="640" w:firstLineChars="200"/>
        <w:rPr>
          <w:rFonts w:ascii="黑体" w:hAnsi="黑体" w:eastAsia="黑体"/>
          <w:szCs w:val="32"/>
        </w:rPr>
      </w:pPr>
      <w:r>
        <w:rPr>
          <w:rFonts w:hint="eastAsia" w:ascii="黑体" w:hAnsi="黑体" w:eastAsia="黑体"/>
          <w:szCs w:val="32"/>
        </w:rPr>
        <w:t>一、部门主要职责</w:t>
      </w:r>
    </w:p>
    <w:p>
      <w:pPr>
        <w:spacing w:line="600" w:lineRule="exact"/>
        <w:ind w:firstLine="640" w:firstLineChars="200"/>
        <w:rPr>
          <w:kern w:val="0"/>
          <w:szCs w:val="32"/>
        </w:rPr>
      </w:pPr>
      <w:r>
        <w:rPr>
          <w:kern w:val="0"/>
          <w:szCs w:val="32"/>
        </w:rPr>
        <w:t>（一）贯彻执行国家、省、市人力资源和社会保障法律、法规、政策，拟订全区人力资源和社会保障事业发展规划、年度工作计划，并组织实施和监督检查。</w:t>
      </w:r>
    </w:p>
    <w:p>
      <w:pPr>
        <w:spacing w:line="600" w:lineRule="exact"/>
        <w:ind w:firstLine="640" w:firstLineChars="200"/>
        <w:rPr>
          <w:kern w:val="0"/>
          <w:szCs w:val="32"/>
        </w:rPr>
      </w:pPr>
      <w:r>
        <w:rPr>
          <w:kern w:val="0"/>
          <w:szCs w:val="32"/>
        </w:rPr>
        <w:t>（二）拟订全区人力资源市场发展规划和人力资源服务业发展、人力资源流动政策，推动建立统一开放、竞争有序的人力资源市场体系，促进人力资源合理流动和优化配置。</w:t>
      </w:r>
    </w:p>
    <w:p>
      <w:pPr>
        <w:spacing w:line="600" w:lineRule="exact"/>
        <w:ind w:firstLine="640" w:firstLineChars="200"/>
        <w:rPr>
          <w:kern w:val="0"/>
          <w:szCs w:val="32"/>
        </w:rPr>
      </w:pPr>
      <w:r>
        <w:rPr>
          <w:kern w:val="0"/>
          <w:szCs w:val="32"/>
        </w:rPr>
        <w:t>（三）负责全区促进就业创业工作，贯彻落实国家、省、市统筹城乡的就业创业发展规划和政策，完善公共就业创业服务体系，统筹建立面向城乡劳动者的职业技能培训制度，落实就业援助制度，牵头拟订高校毕业生就业政策。会同有关部门拟订高技能人才、农村实用人才培养和激励政策。</w:t>
      </w:r>
    </w:p>
    <w:p>
      <w:pPr>
        <w:spacing w:line="600" w:lineRule="exact"/>
        <w:ind w:firstLine="640" w:firstLineChars="200"/>
        <w:rPr>
          <w:kern w:val="0"/>
          <w:szCs w:val="32"/>
        </w:rPr>
      </w:pPr>
      <w:r>
        <w:rPr>
          <w:kern w:val="0"/>
          <w:szCs w:val="32"/>
        </w:rPr>
        <w:t>（四）统筹推进建立全区覆盖城乡的多层次社会保障体系。贯彻执行国家、省、市养老、失业、工伤等社会保险及其补充保险政策和标准。贯彻落实养老保险全省统筹办法和全省统一的养老、失业、工伤保险关系转续办法。组织拟订养老、失业、工伤等社会保险及其补充保险基金管理和监督办法，编制相关社会保险基金预决算草案，贯彻落实相关社会保障基金投资政策。会同有关部门实施全民参保计划并建立统一的社会保险公共服务平台。</w:t>
      </w:r>
    </w:p>
    <w:p>
      <w:pPr>
        <w:spacing w:line="600" w:lineRule="exact"/>
        <w:ind w:firstLine="640" w:firstLineChars="200"/>
        <w:rPr>
          <w:kern w:val="0"/>
          <w:szCs w:val="32"/>
        </w:rPr>
      </w:pPr>
      <w:r>
        <w:rPr>
          <w:kern w:val="0"/>
          <w:szCs w:val="32"/>
        </w:rPr>
        <w:t>（五）负责全区就业、失业和相关社会保险基金预测预警和信息引导，拟订应对预案，实施预防、调节和控制，保持就业形势稳定和相关社会保险基金总体收支平衡。</w:t>
      </w:r>
    </w:p>
    <w:p>
      <w:pPr>
        <w:spacing w:line="600" w:lineRule="exact"/>
        <w:ind w:firstLine="640" w:firstLineChars="200"/>
        <w:rPr>
          <w:kern w:val="0"/>
          <w:szCs w:val="32"/>
        </w:rPr>
      </w:pPr>
      <w:r>
        <w:rPr>
          <w:kern w:val="0"/>
          <w:szCs w:val="32"/>
        </w:rPr>
        <w:t>（六）贯彻落实国家、省、市劳动人事争议调解仲裁制度和劳动关系政策，完善劳动关系协商协调机制，贯彻执行国家、省、市关于工作时间、休息休假和假期相关规定以及特殊劳动保护政策、细则并监督实施。组织实施劳动保障监察，协调劳动者维权工作，依法查处重大案件。</w:t>
      </w:r>
    </w:p>
    <w:p>
      <w:pPr>
        <w:spacing w:line="600" w:lineRule="exact"/>
        <w:ind w:firstLine="640" w:firstLineChars="200"/>
        <w:rPr>
          <w:kern w:val="0"/>
          <w:szCs w:val="32"/>
        </w:rPr>
      </w:pPr>
      <w:r>
        <w:rPr>
          <w:kern w:val="0"/>
          <w:szCs w:val="32"/>
        </w:rPr>
        <w:t>（七）牵头推进深化职称制度改革，参与深化人才发展体制机制改革工作，贯彻落实国家、省、市专业技术人员管理、继续教育和博士后管理等政策，负责高层次专业技术人才选拔和培养工作，拟订吸引留学人员来区工作或定居政策。组织拟订全区技能人才培养、评价、使用和激励制度。完善职业资格制度，健全职业技能多元化评价政策。</w:t>
      </w:r>
    </w:p>
    <w:p>
      <w:pPr>
        <w:spacing w:line="600" w:lineRule="exact"/>
        <w:ind w:firstLine="640" w:firstLineChars="200"/>
        <w:rPr>
          <w:kern w:val="0"/>
          <w:szCs w:val="32"/>
        </w:rPr>
      </w:pPr>
      <w:r>
        <w:rPr>
          <w:kern w:val="0"/>
          <w:szCs w:val="32"/>
        </w:rPr>
        <w:t>（八）会同有关部门指导全区事业单位人事制度改革，按照管理权限负责规范事业单位岗位设置、公开招聘、聘用管理、考核奖惩等人事综合管理工作，拟订事业单位工作人员和机关工勤人员管理政策。</w:t>
      </w:r>
    </w:p>
    <w:p>
      <w:pPr>
        <w:spacing w:line="600" w:lineRule="exact"/>
        <w:ind w:firstLine="640" w:firstLineChars="200"/>
        <w:rPr>
          <w:kern w:val="0"/>
          <w:szCs w:val="32"/>
        </w:rPr>
      </w:pPr>
      <w:r>
        <w:rPr>
          <w:kern w:val="0"/>
          <w:szCs w:val="32"/>
        </w:rPr>
        <w:t>（九）协助有关部门做好机关公务员录用、公开遴选、公开选调等考试的考务组织工作；会同有关部门组织落实国家、省、市表彰奖励制度，综合管理区委、区政府表彰奖励工作，承担全区评比达标表彰和乡（镇）科级表彰等工作，根据授权承办以区委、区政府名义开展的表彰奖励活动。承办部分区管领导干部的行政任免手续。</w:t>
      </w:r>
    </w:p>
    <w:p>
      <w:pPr>
        <w:spacing w:line="600" w:lineRule="exact"/>
        <w:ind w:firstLine="640" w:firstLineChars="200"/>
        <w:rPr>
          <w:kern w:val="0"/>
          <w:szCs w:val="32"/>
        </w:rPr>
      </w:pPr>
      <w:r>
        <w:rPr>
          <w:kern w:val="0"/>
          <w:szCs w:val="32"/>
        </w:rPr>
        <w:t>（十）贯彻执行国家、省、市事业单位人员和机关工勤人员工资收入分配政策，建立全区企事业单位人员工资正常增长和支付保障机制。拟订全区企事业单位人员、机关工勤人员福利和离退休政策。组织全区机关、事业单位工勤人员技术等级考试考核。</w:t>
      </w:r>
    </w:p>
    <w:p>
      <w:pPr>
        <w:spacing w:line="600" w:lineRule="exact"/>
        <w:ind w:firstLine="640" w:firstLineChars="200"/>
        <w:rPr>
          <w:kern w:val="0"/>
          <w:szCs w:val="32"/>
        </w:rPr>
      </w:pPr>
      <w:r>
        <w:rPr>
          <w:kern w:val="0"/>
          <w:szCs w:val="32"/>
        </w:rPr>
        <w:t>（十一）贯彻落实省、市农民工工作的综合性政策，拟订全区农民工工作规划，推动农民工相关政策的落实，协调解决重点难点问题，维护农民工合法权益。统筹指导全区农民工就业创业和发展家庭服务业促进就业工作。</w:t>
      </w:r>
    </w:p>
    <w:p>
      <w:pPr>
        <w:spacing w:line="600" w:lineRule="exact"/>
        <w:ind w:firstLine="640" w:firstLineChars="200"/>
        <w:rPr>
          <w:kern w:val="0"/>
          <w:szCs w:val="32"/>
        </w:rPr>
      </w:pPr>
      <w:r>
        <w:rPr>
          <w:kern w:val="0"/>
          <w:szCs w:val="32"/>
        </w:rPr>
        <w:t>（十二）完成区委、区政府交办的其他任务。</w:t>
      </w:r>
    </w:p>
    <w:p>
      <w:pPr>
        <w:spacing w:line="600" w:lineRule="exact"/>
        <w:ind w:firstLine="640" w:firstLineChars="200"/>
        <w:rPr>
          <w:kern w:val="0"/>
          <w:szCs w:val="32"/>
        </w:rPr>
      </w:pPr>
      <w:r>
        <w:rPr>
          <w:kern w:val="0"/>
          <w:szCs w:val="32"/>
        </w:rPr>
        <w:t>（十三）有关职责分工。</w:t>
      </w:r>
    </w:p>
    <w:p>
      <w:pPr>
        <w:spacing w:line="600" w:lineRule="exact"/>
        <w:ind w:firstLine="640" w:firstLineChars="200"/>
        <w:rPr>
          <w:kern w:val="0"/>
          <w:szCs w:val="32"/>
        </w:rPr>
      </w:pPr>
      <w:r>
        <w:rPr>
          <w:kern w:val="0"/>
          <w:szCs w:val="32"/>
        </w:rPr>
        <w:t>1、关于机关事业单位进人问题的职责分工。中共濮阳市华龙区委机构编制委员会办公室根据用人单位编制余缺和编制结构情况进行编制审核，核发机构编制审核通知单，并在用人单位办理入减编手续后出具入减编通知单。相关部门凭机构编制审核通知单和入减编通知单办理人员录用、聘用（任）、调配、工资核定、社会保障等手续。</w:t>
      </w:r>
    </w:p>
    <w:p>
      <w:pPr>
        <w:spacing w:line="600" w:lineRule="exact"/>
        <w:ind w:firstLine="640" w:firstLineChars="200"/>
        <w:rPr>
          <w:kern w:val="0"/>
          <w:szCs w:val="32"/>
        </w:rPr>
      </w:pPr>
      <w:r>
        <w:rPr>
          <w:kern w:val="0"/>
          <w:szCs w:val="32"/>
        </w:rPr>
        <w:t>2、关于高校毕业生就业管理问题的职责分工。高校毕业生就业政策由濮阳市华龙区人力资源和社会保障局牵头，会同濮阳市华龙区教育局等部门拟订。高校毕业生离校前的就业指导和服务工作，由濮阳市华龙区教育局负责；高校毕业生离校后的就业指导和服务工作由濮阳市华龙区人力资源和社会保障局负责。</w:t>
      </w:r>
    </w:p>
    <w:p>
      <w:pPr>
        <w:ind w:firstLine="640" w:firstLineChars="200"/>
        <w:rPr>
          <w:rFonts w:ascii="黑体" w:hAnsi="黑体" w:eastAsia="黑体"/>
          <w:szCs w:val="32"/>
        </w:rPr>
      </w:pPr>
      <w:r>
        <w:rPr>
          <w:rFonts w:hint="eastAsia" w:ascii="黑体" w:hAnsi="黑体" w:eastAsia="黑体"/>
          <w:szCs w:val="32"/>
        </w:rPr>
        <w:t>二、机构设置情况</w:t>
      </w:r>
    </w:p>
    <w:p>
      <w:pPr>
        <w:ind w:firstLine="640" w:firstLineChars="200"/>
        <w:rPr>
          <w:rFonts w:ascii="仿宋" w:hAnsi="仿宋" w:eastAsia="仿宋"/>
          <w:szCs w:val="32"/>
        </w:rPr>
      </w:pPr>
      <w:r>
        <w:rPr>
          <w:rFonts w:hint="eastAsia" w:ascii="仿宋" w:hAnsi="仿宋" w:eastAsia="仿宋"/>
          <w:szCs w:val="32"/>
        </w:rPr>
        <w:t>根据工作职责及实际工作需要，人社局部门内设</w:t>
      </w:r>
      <w:r>
        <w:rPr>
          <w:kern w:val="0"/>
          <w:szCs w:val="32"/>
        </w:rPr>
        <w:t>办公室</w:t>
      </w:r>
      <w:r>
        <w:rPr>
          <w:rFonts w:hint="eastAsia"/>
          <w:kern w:val="0"/>
          <w:szCs w:val="32"/>
        </w:rPr>
        <w:t>、</w:t>
      </w:r>
      <w:r>
        <w:rPr>
          <w:kern w:val="0"/>
          <w:szCs w:val="32"/>
        </w:rPr>
        <w:t>就业促进办公室</w:t>
      </w:r>
      <w:r>
        <w:rPr>
          <w:rFonts w:hint="eastAsia"/>
          <w:kern w:val="0"/>
          <w:szCs w:val="32"/>
        </w:rPr>
        <w:t>、</w:t>
      </w:r>
      <w:r>
        <w:rPr>
          <w:kern w:val="0"/>
          <w:szCs w:val="32"/>
        </w:rPr>
        <w:t>人力资源流动管理股</w:t>
      </w:r>
      <w:r>
        <w:rPr>
          <w:rFonts w:hint="eastAsia"/>
          <w:kern w:val="0"/>
          <w:szCs w:val="32"/>
        </w:rPr>
        <w:t>、</w:t>
      </w:r>
      <w:r>
        <w:rPr>
          <w:kern w:val="0"/>
          <w:szCs w:val="32"/>
        </w:rPr>
        <w:t>职业能力建设股</w:t>
      </w:r>
      <w:r>
        <w:rPr>
          <w:rFonts w:hint="eastAsia"/>
          <w:kern w:val="0"/>
          <w:szCs w:val="32"/>
        </w:rPr>
        <w:t>、</w:t>
      </w:r>
      <w:r>
        <w:rPr>
          <w:kern w:val="0"/>
          <w:szCs w:val="32"/>
        </w:rPr>
        <w:t>事业单位人事管理股</w:t>
      </w:r>
      <w:r>
        <w:rPr>
          <w:rFonts w:hint="eastAsia"/>
          <w:kern w:val="0"/>
          <w:szCs w:val="32"/>
        </w:rPr>
        <w:t>、</w:t>
      </w:r>
      <w:r>
        <w:rPr>
          <w:kern w:val="0"/>
          <w:szCs w:val="32"/>
        </w:rPr>
        <w:t>农民工工作股</w:t>
      </w:r>
      <w:r>
        <w:rPr>
          <w:rFonts w:hint="eastAsia"/>
          <w:kern w:val="0"/>
          <w:szCs w:val="32"/>
        </w:rPr>
        <w:t>、</w:t>
      </w:r>
      <w:r>
        <w:rPr>
          <w:kern w:val="0"/>
          <w:szCs w:val="32"/>
        </w:rPr>
        <w:t>工资福利股</w:t>
      </w:r>
      <w:r>
        <w:rPr>
          <w:rFonts w:hint="eastAsia" w:ascii="仿宋" w:hAnsi="仿宋" w:eastAsia="仿宋"/>
          <w:szCs w:val="32"/>
        </w:rPr>
        <w:t>等16个机构；独立核算的下属预算单位5个：华龙区</w:t>
      </w:r>
      <w:r>
        <w:rPr>
          <w:rFonts w:hint="eastAsia"/>
          <w:szCs w:val="32"/>
        </w:rPr>
        <w:t>机关事业单位社会保障中心、华龙区人才劳务中心、华龙区劳动就业中心、</w:t>
      </w:r>
      <w:r>
        <w:rPr>
          <w:rFonts w:hint="eastAsia" w:ascii="仿宋" w:hAnsi="仿宋" w:eastAsia="仿宋"/>
          <w:szCs w:val="32"/>
        </w:rPr>
        <w:t>华龙区教育培训中心、濮阳市第四技工学校。</w:t>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2020年本级预算和所属单位预算在内的汇总预算收入总计3567.85万元，支出总计3567.85万元，其中：</w:t>
      </w:r>
    </w:p>
    <w:p>
      <w:pPr>
        <w:ind w:firstLine="640" w:firstLineChars="200"/>
        <w:rPr>
          <w:rFonts w:ascii="仿宋" w:hAnsi="仿宋" w:eastAsia="仿宋"/>
          <w:szCs w:val="32"/>
        </w:rPr>
      </w:pPr>
      <w:r>
        <w:rPr>
          <w:rFonts w:hint="eastAsia" w:ascii="仿宋" w:hAnsi="仿宋" w:eastAsia="仿宋"/>
          <w:szCs w:val="32"/>
        </w:rPr>
        <w:t>华龙区人社局预算收入1187.55万元，预算支出1187.55万元；</w:t>
      </w:r>
    </w:p>
    <w:p>
      <w:pPr>
        <w:ind w:firstLine="640" w:firstLineChars="200"/>
        <w:rPr>
          <w:rFonts w:ascii="仿宋" w:hAnsi="仿宋" w:eastAsia="仿宋"/>
          <w:szCs w:val="32"/>
        </w:rPr>
      </w:pPr>
      <w:r>
        <w:rPr>
          <w:rFonts w:hint="eastAsia" w:ascii="仿宋" w:hAnsi="仿宋" w:eastAsia="仿宋"/>
          <w:szCs w:val="32"/>
        </w:rPr>
        <w:t>华龙区教育培训中心预算收入115.53万元，预算支出115.53万元；</w:t>
      </w:r>
    </w:p>
    <w:p>
      <w:pPr>
        <w:ind w:firstLine="640" w:firstLineChars="200"/>
        <w:rPr>
          <w:rFonts w:ascii="仿宋" w:hAnsi="仿宋" w:eastAsia="仿宋"/>
          <w:szCs w:val="32"/>
        </w:rPr>
      </w:pPr>
      <w:r>
        <w:rPr>
          <w:rFonts w:hint="eastAsia"/>
          <w:szCs w:val="32"/>
        </w:rPr>
        <w:t>华龙区人才劳务中心</w:t>
      </w:r>
      <w:r>
        <w:rPr>
          <w:rFonts w:hint="eastAsia" w:ascii="仿宋" w:hAnsi="仿宋" w:eastAsia="仿宋"/>
          <w:szCs w:val="32"/>
        </w:rPr>
        <w:t>预算收入86.73万元，预算支出86.73万元；</w:t>
      </w:r>
    </w:p>
    <w:p>
      <w:pPr>
        <w:ind w:firstLine="640" w:firstLineChars="200"/>
        <w:rPr>
          <w:rFonts w:ascii="仿宋" w:hAnsi="仿宋" w:eastAsia="仿宋"/>
          <w:szCs w:val="32"/>
        </w:rPr>
      </w:pPr>
      <w:r>
        <w:rPr>
          <w:rFonts w:hint="eastAsia" w:ascii="仿宋" w:hAnsi="仿宋" w:eastAsia="仿宋"/>
          <w:szCs w:val="32"/>
        </w:rPr>
        <w:t>濮阳市第四技工学校预算收入127.95万元，预算支出127.95万元；</w:t>
      </w:r>
    </w:p>
    <w:p>
      <w:pPr>
        <w:ind w:firstLine="640" w:firstLineChars="200"/>
        <w:rPr>
          <w:rFonts w:ascii="仿宋" w:hAnsi="仿宋" w:eastAsia="仿宋"/>
          <w:szCs w:val="32"/>
        </w:rPr>
      </w:pPr>
      <w:r>
        <w:rPr>
          <w:rFonts w:hint="eastAsia" w:ascii="仿宋" w:hAnsi="仿宋" w:eastAsia="仿宋"/>
          <w:szCs w:val="32"/>
        </w:rPr>
        <w:t>华龙区</w:t>
      </w:r>
      <w:r>
        <w:rPr>
          <w:rFonts w:hint="eastAsia"/>
          <w:szCs w:val="32"/>
        </w:rPr>
        <w:t>机关事业单位社会保障中心</w:t>
      </w:r>
      <w:r>
        <w:rPr>
          <w:rFonts w:hint="eastAsia" w:ascii="仿宋" w:hAnsi="仿宋" w:eastAsia="仿宋"/>
          <w:szCs w:val="32"/>
        </w:rPr>
        <w:t>预算收入1453.29万元，预算支出1453.29万元；</w:t>
      </w:r>
    </w:p>
    <w:p>
      <w:pPr>
        <w:ind w:firstLine="640" w:firstLineChars="200"/>
        <w:rPr>
          <w:rFonts w:ascii="仿宋" w:hAnsi="仿宋" w:eastAsia="仿宋"/>
          <w:szCs w:val="32"/>
        </w:rPr>
      </w:pPr>
      <w:r>
        <w:rPr>
          <w:rFonts w:hint="eastAsia" w:ascii="仿宋" w:hAnsi="仿宋" w:eastAsia="仿宋"/>
          <w:szCs w:val="32"/>
        </w:rPr>
        <w:t>华龙区</w:t>
      </w:r>
      <w:r>
        <w:rPr>
          <w:rFonts w:hint="eastAsia"/>
          <w:szCs w:val="32"/>
        </w:rPr>
        <w:t>劳动就业中心</w:t>
      </w:r>
      <w:r>
        <w:rPr>
          <w:rFonts w:hint="eastAsia" w:ascii="仿宋" w:hAnsi="仿宋" w:eastAsia="仿宋"/>
          <w:szCs w:val="32"/>
        </w:rPr>
        <w:t>预算收入596.8万元，预算支出596.8万元。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hint="eastAsia" w:ascii="仿宋" w:hAnsi="仿宋" w:eastAsia="仿宋"/>
          <w:szCs w:val="32"/>
        </w:rPr>
        <w:t>2020年本级预算和所属单位预算在内的汇总预算收入总计3567.85万元，支出总计3567.85万元。其中：基本支出1696.66万元，占比48%，项目支出1871.19万元，占比52%。</w:t>
      </w:r>
    </w:p>
    <w:p>
      <w:pPr>
        <w:ind w:firstLine="640" w:firstLineChars="200"/>
        <w:rPr>
          <w:rFonts w:ascii="仿宋" w:hAnsi="仿宋" w:eastAsia="仿宋"/>
          <w:szCs w:val="32"/>
        </w:rPr>
      </w:pPr>
      <w:r>
        <w:rPr>
          <w:rFonts w:hint="eastAsia" w:ascii="仿宋" w:hAnsi="仿宋" w:eastAsia="仿宋"/>
          <w:szCs w:val="32"/>
        </w:rPr>
        <w:t>2020年本级预算和所属单位预算在内的汇总预算</w:t>
      </w:r>
      <w:r>
        <w:rPr>
          <w:rFonts w:hint="eastAsia" w:ascii="仿宋" w:hAnsi="仿宋" w:eastAsia="仿宋" w:cs="仿宋"/>
          <w:sz w:val="32"/>
          <w:szCs w:val="32"/>
          <w:lang w:val="en-US" w:eastAsia="zh-CN"/>
        </w:rPr>
        <w:t>收入和支出均</w:t>
      </w:r>
      <w:r>
        <w:rPr>
          <w:rFonts w:hint="eastAsia" w:ascii="仿宋" w:hAnsi="仿宋" w:eastAsia="仿宋"/>
          <w:szCs w:val="32"/>
        </w:rPr>
        <w:t>较上年减少448.95万元，减少11</w:t>
      </w:r>
      <w:r>
        <w:rPr>
          <w:rFonts w:ascii="仿宋" w:hAnsi="仿宋" w:eastAsia="仿宋"/>
          <w:szCs w:val="32"/>
        </w:rPr>
        <w:t>%</w:t>
      </w:r>
      <w:r>
        <w:rPr>
          <w:rFonts w:hint="eastAsia" w:ascii="仿宋" w:hAnsi="仿宋" w:eastAsia="仿宋"/>
          <w:szCs w:val="32"/>
        </w:rPr>
        <w:t>，主要原因是2019年机构改革人员减少，以及根据实际工作需要和全区财力情况压减部分项目支出。</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ascii="仿宋" w:hAnsi="仿宋" w:eastAsia="仿宋"/>
          <w:szCs w:val="32"/>
        </w:rPr>
      </w:pPr>
      <w:r>
        <w:rPr>
          <w:rFonts w:hint="eastAsia" w:ascii="仿宋" w:hAnsi="仿宋" w:eastAsia="仿宋"/>
          <w:szCs w:val="32"/>
        </w:rPr>
        <w:t>2020年本部门一般公共预算基本支出1696.66万元，其中：人员经费1610.46万元，主要包括：基本工资、津贴补贴、绩效工资、机关事业单位基本养老保险缴费、医疗保险缴费、其他社会保障缴费、住房公积金、退休费；公用经费86.2万元，主要包括：办公费、维修（护）费、专用材料费、劳务费、委托业务费、公务用车运行维护费、其他商品和服务支出等。</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61万元，主要用于保障机关机构正常运转及正常履职需要的办公费、维修（护）费、专用材料费、劳务费、委托业务费、公务用车运行维护费、其他商品和服务支出等，比上年减少10.6万元，减少15%，主要原因是机构改革人员减少。</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20年本部门“三公”经费预算2万元，与上年持平，主要原因是近年来持续贯彻落实厉行节约有关要求，压减一般性支出。</w:t>
      </w:r>
    </w:p>
    <w:p>
      <w:pPr>
        <w:ind w:firstLine="640" w:firstLineChars="200"/>
        <w:rPr>
          <w:rFonts w:ascii="仿宋" w:hAnsi="仿宋" w:eastAsia="仿宋"/>
          <w:szCs w:val="32"/>
        </w:rPr>
      </w:pPr>
      <w:r>
        <w:rPr>
          <w:rFonts w:hint="eastAsia" w:ascii="仿宋" w:hAnsi="仿宋" w:eastAsia="仿宋"/>
          <w:szCs w:val="32"/>
        </w:rPr>
        <w:t>1.因公出国（境）费0万元；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2.公务用车购置及运行费0万元，其中：公务用车购置0万元，公务用车运行费2万元。</w:t>
      </w:r>
    </w:p>
    <w:p>
      <w:pPr>
        <w:ind w:firstLine="640" w:firstLineChars="200"/>
        <w:rPr>
          <w:rFonts w:ascii="仿宋" w:hAnsi="仿宋" w:eastAsia="仿宋"/>
          <w:szCs w:val="32"/>
        </w:rPr>
      </w:pPr>
      <w:r>
        <w:rPr>
          <w:rFonts w:hint="eastAsia" w:ascii="仿宋" w:hAnsi="仿宋" w:eastAsia="仿宋"/>
          <w:szCs w:val="32"/>
        </w:rPr>
        <w:t>3.公务接待费0万元。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20年本部门无政府采购预算安排。</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ascii="仿宋" w:hAnsi="仿宋" w:eastAsia="仿宋" w:cs="Times New Roman"/>
          <w:sz w:val="32"/>
          <w:szCs w:val="32"/>
        </w:rPr>
      </w:pPr>
      <w:r>
        <w:rPr>
          <w:rFonts w:hint="eastAsia" w:ascii="仿宋" w:hAnsi="仿宋" w:eastAsia="仿宋" w:cs="仿宋"/>
          <w:sz w:val="32"/>
          <w:szCs w:val="32"/>
        </w:rPr>
        <w:t>本部门无政府性基金预算</w:t>
      </w:r>
      <w:r>
        <w:rPr>
          <w:rFonts w:hint="eastAsia" w:ascii="仿宋" w:hAnsi="仿宋" w:eastAsia="仿宋" w:cs="仿宋"/>
          <w:sz w:val="32"/>
          <w:szCs w:val="32"/>
          <w:lang w:val="en-US" w:eastAsia="zh-CN"/>
        </w:rPr>
        <w:t>收支</w:t>
      </w:r>
      <w:r>
        <w:rPr>
          <w:rFonts w:hint="eastAsia" w:ascii="仿宋" w:hAnsi="仿宋" w:eastAsia="仿宋" w:cs="仿宋"/>
          <w:sz w:val="32"/>
          <w:szCs w:val="32"/>
        </w:rPr>
        <w:t>安排</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较上年无变动</w:t>
      </w:r>
      <w:r>
        <w:rPr>
          <w:rFonts w:hint="eastAsia" w:ascii="仿宋" w:hAnsi="仿宋" w:eastAsia="仿宋" w:cs="仿宋"/>
          <w:sz w:val="32"/>
          <w:szCs w:val="32"/>
        </w:rPr>
        <w:t>。</w:t>
      </w:r>
    </w:p>
    <w:p>
      <w:pPr>
        <w:ind w:firstLine="640" w:firstLineChars="200"/>
        <w:rPr>
          <w:rFonts w:ascii="黑体" w:hAnsi="黑体" w:eastAsia="黑体"/>
          <w:szCs w:val="32"/>
        </w:rPr>
      </w:pPr>
      <w:bookmarkStart w:id="0" w:name="_GoBack"/>
      <w:bookmarkEnd w:id="0"/>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9年末，局机关共有车辆4辆，其中：一般公务用车1辆、其他用车</w:t>
      </w:r>
      <w:r>
        <w:rPr>
          <w:rFonts w:ascii="仿宋" w:hAnsi="仿宋" w:eastAsia="仿宋"/>
          <w:szCs w:val="32"/>
        </w:rPr>
        <w:t>3</w:t>
      </w:r>
      <w:r>
        <w:rPr>
          <w:rFonts w:hint="eastAsia" w:ascii="仿宋" w:hAnsi="仿宋" w:eastAsia="仿宋"/>
          <w:szCs w:val="32"/>
        </w:rPr>
        <w:t>辆；单位价值</w:t>
      </w:r>
      <w:r>
        <w:rPr>
          <w:rFonts w:ascii="仿宋" w:hAnsi="仿宋" w:eastAsia="仿宋"/>
          <w:szCs w:val="32"/>
        </w:rPr>
        <w:t>50</w:t>
      </w:r>
      <w:r>
        <w:rPr>
          <w:rFonts w:hint="eastAsia" w:ascii="仿宋" w:hAnsi="仿宋" w:eastAsia="仿宋"/>
          <w:szCs w:val="32"/>
        </w:rPr>
        <w:t>万元以上通用设备0台（套），单位价值</w:t>
      </w:r>
      <w:r>
        <w:rPr>
          <w:rFonts w:ascii="仿宋" w:hAnsi="仿宋" w:eastAsia="仿宋"/>
          <w:szCs w:val="32"/>
        </w:rPr>
        <w:t>100</w:t>
      </w:r>
      <w:r>
        <w:rPr>
          <w:rFonts w:hint="eastAsia" w:ascii="仿宋" w:hAnsi="仿宋" w:eastAsia="仿宋"/>
          <w:szCs w:val="32"/>
        </w:rPr>
        <w:t>万元以上专用设备0台（套）。</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11个项目，1838.3万元，并将以此为基础开展后续预算绩效管理工作，努力建立健全以结果为导向的预算绩效管理工作机制。</w:t>
      </w:r>
    </w:p>
    <w:p>
      <w:pPr>
        <w:ind w:firstLine="640" w:firstLineChars="200"/>
        <w:rPr>
          <w:rFonts w:ascii="黑体" w:hAnsi="黑体" w:eastAsia="黑体"/>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FAC"/>
    <w:rsid w:val="000B392C"/>
    <w:rsid w:val="00125FAC"/>
    <w:rsid w:val="00127F6F"/>
    <w:rsid w:val="00162A29"/>
    <w:rsid w:val="0018415C"/>
    <w:rsid w:val="001852DE"/>
    <w:rsid w:val="001965F5"/>
    <w:rsid w:val="00196E05"/>
    <w:rsid w:val="001B31A3"/>
    <w:rsid w:val="00207623"/>
    <w:rsid w:val="0024750C"/>
    <w:rsid w:val="00251582"/>
    <w:rsid w:val="002A397A"/>
    <w:rsid w:val="00334DFB"/>
    <w:rsid w:val="00377211"/>
    <w:rsid w:val="003838FD"/>
    <w:rsid w:val="003842E5"/>
    <w:rsid w:val="003C0C15"/>
    <w:rsid w:val="004A3479"/>
    <w:rsid w:val="004E79D5"/>
    <w:rsid w:val="0051511D"/>
    <w:rsid w:val="00583109"/>
    <w:rsid w:val="005C4BFD"/>
    <w:rsid w:val="005E427E"/>
    <w:rsid w:val="005F6E48"/>
    <w:rsid w:val="0060448E"/>
    <w:rsid w:val="00612ECF"/>
    <w:rsid w:val="00663278"/>
    <w:rsid w:val="00783801"/>
    <w:rsid w:val="007C5FD2"/>
    <w:rsid w:val="00800FCE"/>
    <w:rsid w:val="00845860"/>
    <w:rsid w:val="008A08E8"/>
    <w:rsid w:val="008A2F34"/>
    <w:rsid w:val="008D7DD2"/>
    <w:rsid w:val="008E57A8"/>
    <w:rsid w:val="00925F66"/>
    <w:rsid w:val="00972960"/>
    <w:rsid w:val="00975602"/>
    <w:rsid w:val="00976444"/>
    <w:rsid w:val="009A1FE2"/>
    <w:rsid w:val="00A02B5D"/>
    <w:rsid w:val="00B62460"/>
    <w:rsid w:val="00BC0D2F"/>
    <w:rsid w:val="00C003BF"/>
    <w:rsid w:val="00C15DCD"/>
    <w:rsid w:val="00C265C9"/>
    <w:rsid w:val="00C56A03"/>
    <w:rsid w:val="00D56ECE"/>
    <w:rsid w:val="00DA4FD4"/>
    <w:rsid w:val="00DF06AF"/>
    <w:rsid w:val="00E328A1"/>
    <w:rsid w:val="00E32F4E"/>
    <w:rsid w:val="00E56EAF"/>
    <w:rsid w:val="00E72D14"/>
    <w:rsid w:val="00F34146"/>
    <w:rsid w:val="00F97444"/>
    <w:rsid w:val="00FC2311"/>
    <w:rsid w:val="00FD4637"/>
    <w:rsid w:val="00FE26A6"/>
    <w:rsid w:val="02650EE7"/>
    <w:rsid w:val="03D941A8"/>
    <w:rsid w:val="040D7EB6"/>
    <w:rsid w:val="0A1D1989"/>
    <w:rsid w:val="0AE47841"/>
    <w:rsid w:val="0CCD4A08"/>
    <w:rsid w:val="0E6A3EC9"/>
    <w:rsid w:val="12875813"/>
    <w:rsid w:val="12FE000F"/>
    <w:rsid w:val="14092443"/>
    <w:rsid w:val="144F00B6"/>
    <w:rsid w:val="15F52E71"/>
    <w:rsid w:val="1CAB6F2A"/>
    <w:rsid w:val="27C72A85"/>
    <w:rsid w:val="287C2817"/>
    <w:rsid w:val="2A804FF2"/>
    <w:rsid w:val="2B033A06"/>
    <w:rsid w:val="2B4B1A20"/>
    <w:rsid w:val="2C481370"/>
    <w:rsid w:val="2C553AA9"/>
    <w:rsid w:val="2D353020"/>
    <w:rsid w:val="2D9B7FB0"/>
    <w:rsid w:val="2E0A3857"/>
    <w:rsid w:val="2E432E6E"/>
    <w:rsid w:val="2F1E089F"/>
    <w:rsid w:val="2F90733A"/>
    <w:rsid w:val="3016316E"/>
    <w:rsid w:val="30180147"/>
    <w:rsid w:val="312D146C"/>
    <w:rsid w:val="351458F3"/>
    <w:rsid w:val="35465CC7"/>
    <w:rsid w:val="35743B67"/>
    <w:rsid w:val="35B20999"/>
    <w:rsid w:val="370F031A"/>
    <w:rsid w:val="3B194F48"/>
    <w:rsid w:val="3C8A3D3A"/>
    <w:rsid w:val="3DD45CD7"/>
    <w:rsid w:val="3FAB0113"/>
    <w:rsid w:val="41AC4099"/>
    <w:rsid w:val="41FE0B7F"/>
    <w:rsid w:val="44696685"/>
    <w:rsid w:val="45CB0377"/>
    <w:rsid w:val="468F5F7B"/>
    <w:rsid w:val="48012B30"/>
    <w:rsid w:val="48DA5870"/>
    <w:rsid w:val="49F6060C"/>
    <w:rsid w:val="4A5264B3"/>
    <w:rsid w:val="4C065EA5"/>
    <w:rsid w:val="4C314FA1"/>
    <w:rsid w:val="4C3934EE"/>
    <w:rsid w:val="4C75558B"/>
    <w:rsid w:val="4EB621F9"/>
    <w:rsid w:val="4EBA1873"/>
    <w:rsid w:val="4F1E667A"/>
    <w:rsid w:val="53464A0B"/>
    <w:rsid w:val="537D4091"/>
    <w:rsid w:val="551F2DD2"/>
    <w:rsid w:val="57E77426"/>
    <w:rsid w:val="58585D6D"/>
    <w:rsid w:val="58970BA2"/>
    <w:rsid w:val="58BA45A0"/>
    <w:rsid w:val="592605FD"/>
    <w:rsid w:val="595F2891"/>
    <w:rsid w:val="60783253"/>
    <w:rsid w:val="63A7616A"/>
    <w:rsid w:val="654463A9"/>
    <w:rsid w:val="6567111B"/>
    <w:rsid w:val="66602ACE"/>
    <w:rsid w:val="6D1631A3"/>
    <w:rsid w:val="6D517D19"/>
    <w:rsid w:val="6DD578A6"/>
    <w:rsid w:val="6E131823"/>
    <w:rsid w:val="725B5DEA"/>
    <w:rsid w:val="77750D04"/>
    <w:rsid w:val="7D0A4B63"/>
    <w:rsid w:val="7D1029B4"/>
    <w:rsid w:val="7D4A7A9F"/>
    <w:rsid w:val="7D663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字符"/>
    <w:basedOn w:val="8"/>
    <w:link w:val="2"/>
    <w:qFormat/>
    <w:uiPriority w:val="9"/>
    <w:rPr>
      <w:rFonts w:ascii="方正小标宋_GBK" w:eastAsia="方正小标宋_GBK"/>
      <w:sz w:val="44"/>
    </w:rPr>
  </w:style>
  <w:style w:type="character" w:customStyle="1" w:styleId="10">
    <w:name w:val="页眉 字符"/>
    <w:basedOn w:val="8"/>
    <w:link w:val="5"/>
    <w:qFormat/>
    <w:uiPriority w:val="99"/>
    <w:rPr>
      <w:rFonts w:ascii="仿宋_GB2312" w:eastAsia="仿宋_GB2312"/>
      <w:sz w:val="18"/>
      <w:szCs w:val="18"/>
    </w:rPr>
  </w:style>
  <w:style w:type="character" w:customStyle="1" w:styleId="11">
    <w:name w:val="页脚 字符"/>
    <w:basedOn w:val="8"/>
    <w:link w:val="4"/>
    <w:qFormat/>
    <w:uiPriority w:val="99"/>
    <w:rPr>
      <w:rFonts w:ascii="仿宋_GB2312" w:eastAsia="仿宋_GB2312"/>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3"/>
    <w:semiHidden/>
    <w:qFormat/>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582</Words>
  <Characters>3319</Characters>
  <Lines>27</Lines>
  <Paragraphs>7</Paragraphs>
  <TotalTime>0</TotalTime>
  <ScaleCrop>false</ScaleCrop>
  <LinksUpToDate>false</LinksUpToDate>
  <CharactersWithSpaces>3894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Administrator</cp:lastModifiedBy>
  <cp:lastPrinted>2020-03-03T07:59:00Z</cp:lastPrinted>
  <dcterms:modified xsi:type="dcterms:W3CDTF">2020-12-14T07:40:20Z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