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_GBK" w:eastAsia="方正小标宋_GBK"/>
          <w:sz w:val="40"/>
        </w:rPr>
      </w:pPr>
    </w:p>
    <w:p>
      <w:pPr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w w:val="85"/>
          <w:sz w:val="56"/>
        </w:rPr>
      </w:pPr>
      <w:r>
        <w:rPr>
          <w:rFonts w:hint="eastAsia" w:ascii="方正小标宋简体" w:hAnsi="方正小标宋简体" w:eastAsia="方正小标宋简体" w:cs="方正小标宋简体"/>
          <w:w w:val="85"/>
          <w:sz w:val="56"/>
        </w:rPr>
        <w:t>濮阳市华龙区民政局</w:t>
      </w:r>
    </w:p>
    <w:p>
      <w:pPr>
        <w:jc w:val="center"/>
        <w:rPr>
          <w:rFonts w:ascii="方正小标宋简体" w:hAnsi="方正小标宋简体" w:eastAsia="方正小标宋简体" w:cs="方正小标宋简体"/>
          <w:spacing w:val="-20"/>
          <w:sz w:val="44"/>
        </w:rPr>
      </w:pPr>
      <w:r>
        <w:rPr>
          <w:rFonts w:hint="eastAsia" w:ascii="方正小标宋简体" w:hAnsi="方正小标宋简体" w:eastAsia="方正小标宋简体" w:cs="方正小标宋简体"/>
          <w:w w:val="85"/>
          <w:sz w:val="56"/>
        </w:rPr>
        <w:t>2020年部门预算公开说明</w:t>
      </w: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楷体_GB2312" w:eastAsia="楷体_GB2312"/>
          <w:b/>
          <w:w w:val="90"/>
          <w:sz w:val="40"/>
        </w:rPr>
      </w:pPr>
      <w:r>
        <w:rPr>
          <w:rFonts w:hint="eastAsia" w:ascii="楷体_GB2312" w:eastAsia="楷体_GB2312"/>
          <w:b/>
          <w:w w:val="90"/>
          <w:sz w:val="40"/>
        </w:rPr>
        <w:t>二</w:t>
      </w:r>
      <w:r>
        <w:rPr>
          <w:rFonts w:hint="eastAsia" w:ascii="宋体" w:hAnsi="宋体" w:cs="宋体"/>
          <w:b/>
          <w:w w:val="90"/>
          <w:sz w:val="40"/>
        </w:rPr>
        <w:t>〇</w:t>
      </w:r>
      <w:r>
        <w:rPr>
          <w:rFonts w:hint="eastAsia" w:ascii="楷体_GB2312" w:eastAsia="楷体_GB2312"/>
          <w:b/>
          <w:w w:val="90"/>
          <w:sz w:val="40"/>
        </w:rPr>
        <w:t>二</w:t>
      </w:r>
      <w:r>
        <w:rPr>
          <w:rFonts w:hint="eastAsia" w:ascii="宋体" w:hAnsi="宋体" w:cs="宋体"/>
          <w:b/>
          <w:w w:val="90"/>
          <w:sz w:val="40"/>
        </w:rPr>
        <w:t>〇</w:t>
      </w:r>
      <w:r>
        <w:rPr>
          <w:rFonts w:hint="eastAsia" w:ascii="楷体_GB2312" w:hAnsi="楷体_GB2312" w:eastAsia="楷体_GB2312" w:cs="楷体_GB2312"/>
          <w:b/>
          <w:w w:val="90"/>
          <w:sz w:val="40"/>
        </w:rPr>
        <w:t>年六月</w:t>
      </w:r>
    </w:p>
    <w:p>
      <w:pPr>
        <w:widowControl/>
        <w:jc w:val="left"/>
        <w:rPr>
          <w:rFonts w:ascii="黑体" w:hAnsi="黑体" w:eastAsia="黑体" w:cs="宋体"/>
          <w:color w:val="000000"/>
          <w:kern w:val="0"/>
          <w:sz w:val="44"/>
          <w:szCs w:val="32"/>
        </w:rPr>
      </w:pPr>
      <w:r>
        <w:rPr>
          <w:rFonts w:ascii="黑体" w:hAnsi="黑体" w:eastAsia="黑体"/>
          <w:color w:val="000000"/>
          <w:sz w:val="44"/>
          <w:szCs w:val="32"/>
        </w:rPr>
        <w:br w:type="page"/>
      </w:r>
    </w:p>
    <w:p>
      <w:pPr>
        <w:pStyle w:val="6"/>
        <w:topLinePunct/>
        <w:spacing w:before="0" w:beforeAutospacing="0" w:after="0" w:afterAutospacing="0" w:line="360" w:lineRule="auto"/>
        <w:ind w:firstLine="880"/>
        <w:jc w:val="center"/>
        <w:rPr>
          <w:rFonts w:ascii="黑体" w:hAnsi="黑体" w:eastAsia="黑体"/>
          <w:color w:val="000000"/>
          <w:sz w:val="44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黑体" w:hAnsi="黑体" w:eastAsia="黑体"/>
          <w:color w:val="000000"/>
          <w:sz w:val="44"/>
          <w:szCs w:val="32"/>
        </w:rPr>
      </w:pPr>
      <w:r>
        <w:rPr>
          <w:rFonts w:hint="eastAsia" w:ascii="黑体" w:hAnsi="黑体" w:eastAsia="黑体"/>
          <w:color w:val="000000"/>
          <w:sz w:val="44"/>
          <w:szCs w:val="32"/>
        </w:rPr>
        <w:t>目 录</w:t>
      </w:r>
    </w:p>
    <w:p>
      <w:pPr>
        <w:pStyle w:val="6"/>
        <w:topLinePunct/>
        <w:spacing w:before="0" w:beforeAutospacing="0" w:after="0" w:afterAutospacing="0" w:line="360" w:lineRule="auto"/>
        <w:ind w:firstLine="720"/>
        <w:jc w:val="center"/>
        <w:rPr>
          <w:rFonts w:ascii="黑体" w:hAnsi="黑体" w:eastAsia="黑体"/>
          <w:color w:val="000000"/>
          <w:sz w:val="36"/>
          <w:szCs w:val="32"/>
        </w:rPr>
      </w:pP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第一部分</w:t>
      </w:r>
      <w:r>
        <w:rPr>
          <w:rFonts w:hint="eastAsia"/>
          <w:color w:val="000000"/>
          <w:sz w:val="32"/>
          <w:szCs w:val="32"/>
        </w:rPr>
        <w:t xml:space="preserve"> </w:t>
      </w:r>
      <w:r>
        <w:rPr>
          <w:rFonts w:hint="eastAsia" w:ascii="黑体" w:hAnsi="黑体" w:eastAsia="黑体"/>
          <w:color w:val="000000"/>
          <w:sz w:val="32"/>
          <w:szCs w:val="32"/>
        </w:rPr>
        <w:t>部门概况</w:t>
      </w:r>
      <w:r>
        <w:rPr>
          <w:rFonts w:hint="eastAsia"/>
          <w:color w:val="000000"/>
          <w:sz w:val="32"/>
          <w:szCs w:val="32"/>
        </w:rPr>
        <w:t> 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一、部门主要职责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二、机构设置情况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第二部分 2020年部门预算情况说明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第三部分 名词解释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附件：濮阳市华龙区民政局2020年部门预算表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一、部门收支总表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二、部门收入总表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三、部门支出总表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四、财政拨款收支总表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五、一般公共预算支出表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六、一般公共预算基本支出表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七、一般公共预算“三公”经费支出表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八、政府性基金预算支出表</w:t>
      </w: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rPr>
          <w:rFonts w:ascii="黑体" w:hAnsi="黑体" w:eastAsia="黑体"/>
          <w:szCs w:val="32"/>
        </w:rPr>
      </w:pPr>
      <w:r>
        <w:rPr>
          <w:rFonts w:ascii="黑体" w:hAnsi="黑体" w:eastAsia="黑体"/>
          <w:szCs w:val="32"/>
        </w:rPr>
        <w:br w:type="page"/>
      </w: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第一部分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部门概况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ascii="黑体" w:hAnsi="黑体" w:eastAsia="黑体"/>
          <w:szCs w:val="32"/>
        </w:rPr>
        <w:t> 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一、部门主要职责</w:t>
      </w:r>
    </w:p>
    <w:p>
      <w:pPr>
        <w:spacing w:line="600" w:lineRule="exact"/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（一）贯彻民政工作法律、法规和方针、政策；根据国民经济和社会发展规划，拟订全区民政事业发展规划和民政工作政策并组织实施；指导全区民政工作的改革与发展；对民政系统依法行政工作进行监督检查。</w:t>
      </w:r>
    </w:p>
    <w:p>
      <w:pPr>
        <w:spacing w:line="600" w:lineRule="exact"/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（二）负责民政事业计划财务和统计工作，指导、监督民政事业费的使用和管理。</w:t>
      </w:r>
    </w:p>
    <w:p>
      <w:pPr>
        <w:spacing w:line="600" w:lineRule="exact"/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（三）负责全区社团和民办非企业单位管理法规、政策的组织实施；负责全区性社团和民办非企业单位的注册登记、撤消登记及管理工作；指导和监督全区社团和民办非企业单位管理工作。</w:t>
      </w:r>
    </w:p>
    <w:p>
      <w:pPr>
        <w:spacing w:line="600" w:lineRule="exact"/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（四）负责全区各类优抚对象优待、抚恤、补助政策的贯彻落实工作；承办申报褒扬革命烈士；承办申报因公伤残评定工作；贯彻落实“双拥”政策法规，指导督促全区义务兵家属优待工作；开展军民共建，协调军地军民关系。</w:t>
      </w:r>
    </w:p>
    <w:p>
      <w:pPr>
        <w:spacing w:line="600" w:lineRule="exact"/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（五）负责全区转业士官，特、一等伤残军人和军队复员干部的接收工作；负责区直退役士兵接受、安置、培训和待分配期间的生活补助费发放工作。</w:t>
      </w:r>
    </w:p>
    <w:p>
      <w:pPr>
        <w:spacing w:line="600" w:lineRule="exact"/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（六）负责救灾工作政策法规的组织实施；负责全区灾情勘查、统计和上报工作；负责救灾款物的筹集、管理、使用、监督及救灾款物储备工作；负责全区灾后民房重建、灾民生活救助工作；负责全区救灾捐赠工作。</w:t>
      </w:r>
    </w:p>
    <w:p>
      <w:pPr>
        <w:spacing w:line="600" w:lineRule="exact"/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（七）健全城乡社会救助体系；负责城乡居民最低生活保障、农村五保供养、医疗救助、临时救助、生活无着人员救助工作。</w:t>
      </w:r>
    </w:p>
    <w:p>
      <w:pPr>
        <w:spacing w:line="600" w:lineRule="exact"/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（八）负责区划、地名管理法规、政策的组织实施；负责全区区划调整的审核报批工作；指导全区地名管理工作；承办地名更名、命名工作；负责地名标志的设置和管理；负责标准化地名的使用、推广和监督工作。</w:t>
      </w:r>
    </w:p>
    <w:p>
      <w:pPr>
        <w:spacing w:line="600" w:lineRule="exact"/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（九）负责全区社会福利事业有关政策法规的监督实施；负责孤儿救助、爱滋病致孤救助工作；负责流浪乞讨人员救助工作；负责重度残疾人及困难残疾人护理和生活补贴；负责婚姻登记、收养登记和殡葬管理有关法规、政策的监督实施；承办国内婚姻登记工作；负责殡葬管理的法规和政策的实施，推行殡葬改革，加大火化力度，搞好公墓建设。</w:t>
      </w:r>
    </w:p>
    <w:p>
      <w:pPr>
        <w:spacing w:line="600" w:lineRule="exact"/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（十）拟订城乡基层群众自治建设和社区建设政策并指导实施；指导社区服务体系建设；提出加强和改进基层政权建设的建议；推动村务公开和基层民主政治建设。</w:t>
      </w:r>
    </w:p>
    <w:p>
      <w:pPr>
        <w:spacing w:line="600" w:lineRule="exact"/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（十一）宣传、贯彻执行党和国家有关老龄工作的法律、法规和政策；协调有关部门实施老龄事业发展规划，负责维护老年人的权益工作；指导全区老龄工作；负责老年证办理。</w:t>
      </w:r>
    </w:p>
    <w:p>
      <w:pPr>
        <w:spacing w:line="600" w:lineRule="exact"/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（十二）承办区政府交办的其他事项。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二、机构设置情况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根据工作职责及实际工作需要，华龙区民政局下设6个内设机构：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（一）办公室。负责机关日常运转工作。承担信息、安全、保密、信访、档案、政务公开、督查督办、提案办理、平安建设、信息化、新闻宣传、后勤保障等工作；承担民政行业标准化工作；承担机关有关规范性文件的合法性审查和清理工作；承担行政复议、行政应诉等工作；指导本系统依法行政工作；牵头本部门行政审批工作。拟订全区民政事业发展规划和民政基础设施建设标准，指导和监督中央、省、市、区财政拨付的民政事业资金管理工作；承担民政统计管理和本局预决算、财务、资产管理与内部审计工作。负责全局的干部人事、机构编制、劳动工资和教育培训、职称改革、</w:t>
      </w:r>
    </w:p>
    <w:p>
      <w:pPr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岗位设置等工作；承担民政系统职业资格技能鉴定上报工作；负责局机关职工的五险一金缴纳；负责行政事业单位人员的晋档晋级及调资工作；负责全局的离退休干部工作。承办全局的计划生育、工、青、妇工作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（二）社会救助股。拟订并组织实施全区城乡居民最低生活保障、特困人员救助供养、临时救助等社会救助政策和标准，建立健全城乡社会救助体系，按照上级有关要求，结合我区实际，对城乡低保对象、特困对象的认定和临时救助工作计划并组织落实；编制城乡低保、特困人员、临时救助的资金需求计划，负责资金的发放和监管；负责城乡低保、特困人员、临时救助对象待遇的审核、审批、停发工作，核发保障金及有关证件；指导、督促、检查各乡、镇、办城乡低保、特困人员救助工作；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（三）儿童福利股。组织落实促进慈善事业发展政策和慈善信托、慈善组织及其活动管理办法，指导社会捐助工作，承担慈善信托相关职责；拟订社会工作和志愿服务政策，会同有关部门组织推进社会工作人才队伍建设和志愿者队伍建设；拟订全区儿童福利、孤弃儿童保障、儿童收养、儿童救助保护政策、标准，健全农村留守儿童关爱服务体系和困境儿童保障制度；指导儿童福利、收养登记、救助保护机构管理工作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（四）社会事务股。拟订和推进落实全区婚姻、殡葬、残疾人权益保护、社会组织管理政策；负责办理全区婚姻登</w:t>
      </w:r>
    </w:p>
    <w:p>
      <w:pPr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记工作；补发婚姻登记证书；撤销受胁迫的婚姻；宣传婚姻法律法规，倡导文明婚俗。负责建立公墓监管制度，抓好销售及入住墓穴的建档工作；推行惠民殡葬，建立殡葬救助制度；提高殡葬服务人员业务水平，不断加强殡改执法人员的培训，提高执法水平。负责残疾人等特殊群体权益保护政策的落实。负责社会流浪乞讨人员的临时生活、救助遣送等服务工作。拟订全区社会团体、社会服务机构登记管理办法；按照管理权限对社会团体、社会服务机构进行登记管理和执法监督；查处社会组织的违法行为和非法的社会组织；负责社会组织突发事件预警和应急处置工作；承担社会组织信息管理工作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（五）基层政权建设和社区治理股。拟订全区城乡基层群众自治建设和社区治理政策，指导城乡社区治理体系和治理能力建设，推动基层民主政治建设；负责城乡基层群众自治建设和社区建设政策的贯彻实施，指导村（居）民自治和基层民主政治建设；指导社区服务体系建设。负责全区行政区划和区域界线、地名管理办法的组织实施；负责地名数据库和地名公共服务工程的建立和实施。负责居民委员会设立命名表更的预审上报工作，承办全区开展地名标志设置及管理工作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（六）养老服务股。拟订全区老年人福利补贴制度和养老服务体系建设规划、政策和标准；协调推进农村留守老年人关爱服务工作；指导养老服务、老年人福利、特困人员救</w:t>
      </w:r>
    </w:p>
    <w:p>
      <w:pPr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助供养机构管理工作。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本部门无独立核算的下属预算单位，部门本级预算即汇总预算。</w:t>
      </w:r>
    </w:p>
    <w:p>
      <w:pPr>
        <w:widowControl/>
        <w:jc w:val="left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br w:type="page"/>
      </w: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第二部分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2020年部门预算情况说明</w:t>
      </w:r>
    </w:p>
    <w:p>
      <w:pPr>
        <w:ind w:firstLine="640" w:firstLineChars="200"/>
        <w:rPr>
          <w:rFonts w:ascii="华文仿宋" w:hAnsi="华文仿宋" w:eastAsia="华文仿宋"/>
          <w:szCs w:val="32"/>
        </w:rPr>
      </w:pP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一、本级预算和所属单位预算在内的汇总预算总体情况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本部门无独立核算的下属预算单位，部门本级预算即汇总预算。</w:t>
      </w: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20年本部门预算收入总计1660.55万元，支出总计1660.55万元。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二、部门预算收支增减变动情况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20年本部门预算收入总计1660.55万元，支出总计1660.55万元。其中：基本支出291.65万元，占比17.56%，项目支出1368.90万元，占比82.44%。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2020年本部门预算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收入和支出均</w:t>
      </w:r>
      <w:r>
        <w:rPr>
          <w:rFonts w:hint="eastAsia" w:ascii="仿宋" w:hAnsi="仿宋" w:eastAsia="仿宋"/>
          <w:szCs w:val="32"/>
        </w:rPr>
        <w:t>较上年增加432.54万元，增长35.22</w:t>
      </w:r>
      <w:r>
        <w:rPr>
          <w:rFonts w:ascii="仿宋" w:hAnsi="仿宋" w:eastAsia="仿宋"/>
          <w:szCs w:val="32"/>
        </w:rPr>
        <w:t>%</w:t>
      </w:r>
      <w:r>
        <w:rPr>
          <w:rFonts w:hint="eastAsia" w:ascii="仿宋" w:hAnsi="仿宋" w:eastAsia="仿宋"/>
          <w:szCs w:val="32"/>
        </w:rPr>
        <w:t>，主要原因是新增人员变动，以及根据改革要求和实际工作需要新增部分专项支出。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三、一般公共预算基本支出情况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2020年本部门一般公共预算基本支出291.65万元，其中：人员经费267.97万元，主要包括：基本工资、津贴补贴、绩效工资、机关事业单位基本养老保险缴费、医疗保险缴费、其他社会保障缴费、住房公积金、退休费；公用经费23.68万元，主要包括：办公费、公务接待费、公务用车运行维护费、其他商品和服务支出等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四、机关运行经费安排情况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机关运行经费安排23.68万元，主要用于保障机关机构正常运转及正常履职需要的办公费、公务接待费、公务用车运行维护费、其他商品和服务支出等，比上年减少4万元，减少14.45%，主要原因是深入贯彻落实中央八项规定等要求，厉行勤俭节约，以及人员变动调整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五、“三公”经费安排情况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20年本部门“三公”经费预算6万元，较上年减少0.4万元，主要原因是由于公车改革后，公车运行数量减少，运行维护成本降低，以及严格执行相关规定，厉行勤俭节约，压减“三公”经费。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1.因公出国（境）费0万元；</w:t>
      </w:r>
      <w:r>
        <w:rPr>
          <w:rFonts w:ascii="仿宋" w:hAnsi="仿宋" w:eastAsia="仿宋"/>
          <w:szCs w:val="32"/>
        </w:rPr>
        <w:t xml:space="preserve"> 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2.公务用车购置及运行费6万元，其中：公务用车购置0万元，公务用车运行费5万元。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3.公务接待费1万元。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黑体" w:hAnsi="黑体" w:eastAsia="黑体"/>
          <w:szCs w:val="32"/>
        </w:rPr>
        <w:t>六、政府采购安排情况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2020</w:t>
      </w:r>
      <w:r>
        <w:rPr>
          <w:rFonts w:hint="eastAsia" w:ascii="仿宋" w:hAnsi="仿宋" w:eastAsia="仿宋"/>
          <w:szCs w:val="32"/>
        </w:rPr>
        <w:t>年本部门无政府采购预算安排。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七、政府性基金预算安排情况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本部门无政府性基金预算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收支</w:t>
      </w:r>
      <w:r>
        <w:rPr>
          <w:rFonts w:hint="eastAsia" w:ascii="仿宋" w:hAnsi="仿宋" w:eastAsia="仿宋" w:cs="仿宋"/>
          <w:sz w:val="32"/>
          <w:szCs w:val="32"/>
        </w:rPr>
        <w:t>安排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较上年无变动</w:t>
      </w:r>
      <w:r>
        <w:rPr>
          <w:rFonts w:hint="eastAsia" w:ascii="仿宋" w:hAnsi="仿宋" w:eastAsia="仿宋" w:cs="仿宋"/>
          <w:sz w:val="32"/>
          <w:szCs w:val="32"/>
        </w:rPr>
        <w:t>。</w:t>
      </w:r>
      <w:bookmarkStart w:id="0" w:name="_GoBack"/>
      <w:bookmarkEnd w:id="0"/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八、</w:t>
      </w:r>
      <w:r>
        <w:rPr>
          <w:rFonts w:ascii="黑体" w:hAnsi="黑体" w:eastAsia="黑体"/>
          <w:szCs w:val="32"/>
        </w:rPr>
        <w:t>国有资产占用情况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截止201</w:t>
      </w:r>
      <w:r>
        <w:rPr>
          <w:rFonts w:hint="eastAsia" w:ascii="仿宋" w:hAnsi="仿宋" w:eastAsia="仿宋"/>
          <w:szCs w:val="32"/>
        </w:rPr>
        <w:t>9年末，本部门共有：房屋建筑物1200平方；车辆2辆，其中：一般公务用车2辆、无其他用车辆；单位价值</w:t>
      </w:r>
      <w:r>
        <w:rPr>
          <w:rFonts w:ascii="仿宋" w:hAnsi="仿宋" w:eastAsia="仿宋"/>
          <w:szCs w:val="32"/>
        </w:rPr>
        <w:t>50</w:t>
      </w:r>
      <w:r>
        <w:rPr>
          <w:rFonts w:hint="eastAsia" w:ascii="仿宋" w:hAnsi="仿宋" w:eastAsia="仿宋"/>
          <w:szCs w:val="32"/>
        </w:rPr>
        <w:t>万元以上通用设备0台（套），单位价值</w:t>
      </w:r>
      <w:r>
        <w:rPr>
          <w:rFonts w:ascii="仿宋" w:hAnsi="仿宋" w:eastAsia="仿宋"/>
          <w:szCs w:val="32"/>
        </w:rPr>
        <w:t>100</w:t>
      </w:r>
      <w:r>
        <w:rPr>
          <w:rFonts w:hint="eastAsia" w:ascii="仿宋" w:hAnsi="仿宋" w:eastAsia="仿宋"/>
          <w:szCs w:val="32"/>
        </w:rPr>
        <w:t>万元以上专用设备0台（套）。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九、预算绩效管理工作开展情况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按照《濮阳市华龙区财政局关于编制区级部门2020-2022年收支规划和2020年部门预算的通知》（华龙财〔2019〕108号）有关全面推进预算绩效管理方面的要求，本部门牢固树立“讲绩效、重绩效、用绩效”的绩效管理理念，年度预算申报时，针对政策及重点项目逐项设立并报送了预算绩效目标。绩效目标设定涉及10个项目，1195.8万元，并将以此为基础开展后续预算绩效管理工作，努力建立健全以结果为导向的预算绩效管理工作机制。</w:t>
      </w: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第三部分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名词解释</w:t>
      </w:r>
    </w:p>
    <w:p>
      <w:pPr>
        <w:ind w:firstLine="640" w:firstLineChars="200"/>
        <w:rPr>
          <w:rFonts w:ascii="仿宋" w:hAnsi="仿宋" w:eastAsia="仿宋"/>
          <w:szCs w:val="32"/>
        </w:rPr>
      </w:pP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一、财政拨款收入</w:t>
      </w:r>
    </w:p>
    <w:p>
      <w:pPr>
        <w:ind w:firstLine="64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指本级财政当年拨付的资金。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二、事业收入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指事业单位开展专务活动及辅助所取得的收入。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三、其他收入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指除“财政拨款”、“事业收入”、“事业单位经营收入”、“附属单位上缴收入”等以外的收入。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四、基本支出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指为保障机构正常运转、完成日常工作任务所必需的开支，其内容包括人员经费和日常公用经费两部分。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五、项目支出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指在基本支出之外，为完成特定的行政工作任务或事业发展目标所发生的支出。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六、机关运行经费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为保障行政单位（含参照公务员法管理的事业单位）正常运转及正常履职需要的支出，包括办公费、印刷费、“三公”经费、差旅费、会议费、日常维修费、办公用房水电费、办公用房取暖费、办公用房物业管理费、公务用车运行维护费以及其他费用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七、“三公”经费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纳入本级财政预决算管理，本级部门使用财政拨款安排的因公出国（境）费、公务用车购置及运行费和公务接待费。其中，因公出国（境）费指单位公务出国（境）的住宿费、旅费、伙食补助费、杂费、培训费等支出；公务用车购置及运行费指单位公务用车购置费及租用费、燃料费、维修费、过路过桥费、保险费、安全奖励费用等支出；公务接待费指单位按规定开支的各类接待支出。</w:t>
      </w:r>
    </w:p>
    <w:p>
      <w:pPr>
        <w:widowControl/>
        <w:jc w:val="left"/>
        <w:rPr>
          <w:rFonts w:ascii="仿宋" w:hAnsi="仿宋" w:eastAsia="仿宋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- 10 -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sz w:val="21"/>
                        <w:szCs w:val="21"/>
                      </w:rPr>
                    </w:pP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- 10 -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FAC"/>
    <w:rsid w:val="000B392C"/>
    <w:rsid w:val="0012137C"/>
    <w:rsid w:val="00125FAC"/>
    <w:rsid w:val="00127F6F"/>
    <w:rsid w:val="00162A29"/>
    <w:rsid w:val="001852DE"/>
    <w:rsid w:val="001965F5"/>
    <w:rsid w:val="00196E05"/>
    <w:rsid w:val="001B31A3"/>
    <w:rsid w:val="00207623"/>
    <w:rsid w:val="0024750C"/>
    <w:rsid w:val="002A397A"/>
    <w:rsid w:val="00334DFB"/>
    <w:rsid w:val="00372214"/>
    <w:rsid w:val="00377211"/>
    <w:rsid w:val="003838FD"/>
    <w:rsid w:val="003C0C15"/>
    <w:rsid w:val="004A3479"/>
    <w:rsid w:val="004E79D5"/>
    <w:rsid w:val="005107A3"/>
    <w:rsid w:val="0051511D"/>
    <w:rsid w:val="00543701"/>
    <w:rsid w:val="00583109"/>
    <w:rsid w:val="005C4BFD"/>
    <w:rsid w:val="005E427E"/>
    <w:rsid w:val="0060448E"/>
    <w:rsid w:val="00612ECF"/>
    <w:rsid w:val="007C5FD2"/>
    <w:rsid w:val="0084487E"/>
    <w:rsid w:val="00845860"/>
    <w:rsid w:val="008A08E8"/>
    <w:rsid w:val="008A2F34"/>
    <w:rsid w:val="008D7DD2"/>
    <w:rsid w:val="008E57A8"/>
    <w:rsid w:val="00925F66"/>
    <w:rsid w:val="00975602"/>
    <w:rsid w:val="00976444"/>
    <w:rsid w:val="009A1FE2"/>
    <w:rsid w:val="00A02B5D"/>
    <w:rsid w:val="00A653AD"/>
    <w:rsid w:val="00B62460"/>
    <w:rsid w:val="00BC0D2F"/>
    <w:rsid w:val="00C15DCD"/>
    <w:rsid w:val="00C52D48"/>
    <w:rsid w:val="00C56A03"/>
    <w:rsid w:val="00D56ECE"/>
    <w:rsid w:val="00D82B91"/>
    <w:rsid w:val="00D968B3"/>
    <w:rsid w:val="00DA4FD4"/>
    <w:rsid w:val="00DF06AF"/>
    <w:rsid w:val="00E56EAF"/>
    <w:rsid w:val="00E72D14"/>
    <w:rsid w:val="00F34146"/>
    <w:rsid w:val="00F97444"/>
    <w:rsid w:val="00FC2311"/>
    <w:rsid w:val="00FD4092"/>
    <w:rsid w:val="00FD4637"/>
    <w:rsid w:val="00FE26A6"/>
    <w:rsid w:val="04474227"/>
    <w:rsid w:val="21AF0422"/>
    <w:rsid w:val="2B2A174C"/>
    <w:rsid w:val="2B91037C"/>
    <w:rsid w:val="3CB17D5D"/>
    <w:rsid w:val="47B2068A"/>
    <w:rsid w:val="537D4091"/>
    <w:rsid w:val="5F041B82"/>
    <w:rsid w:val="6FB3015B"/>
    <w:rsid w:val="7B894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eastAsia="仿宋_GB2312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jc w:val="center"/>
      <w:outlineLvl w:val="0"/>
    </w:pPr>
    <w:rPr>
      <w:rFonts w:ascii="方正小标宋_GBK" w:eastAsia="方正小标宋_GBK"/>
      <w:sz w:val="44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标题 1 字符"/>
    <w:basedOn w:val="8"/>
    <w:link w:val="2"/>
    <w:qFormat/>
    <w:uiPriority w:val="9"/>
    <w:rPr>
      <w:rFonts w:ascii="方正小标宋_GBK" w:eastAsia="方正小标宋_GBK"/>
      <w:sz w:val="44"/>
    </w:rPr>
  </w:style>
  <w:style w:type="character" w:customStyle="1" w:styleId="10">
    <w:name w:val="页眉 字符"/>
    <w:basedOn w:val="8"/>
    <w:link w:val="5"/>
    <w:qFormat/>
    <w:uiPriority w:val="99"/>
    <w:rPr>
      <w:rFonts w:ascii="仿宋_GB2312" w:eastAsia="仿宋_GB2312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仿宋_GB2312" w:eastAsia="仿宋_GB2312"/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框文本 字符"/>
    <w:basedOn w:val="8"/>
    <w:link w:val="3"/>
    <w:semiHidden/>
    <w:qFormat/>
    <w:uiPriority w:val="99"/>
    <w:rPr>
      <w:rFonts w:ascii="仿宋_GB2312" w:eastAsia="仿宋_GB231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647</Words>
  <Characters>3690</Characters>
  <Lines>30</Lines>
  <Paragraphs>8</Paragraphs>
  <TotalTime>0</TotalTime>
  <ScaleCrop>false</ScaleCrop>
  <LinksUpToDate>false</LinksUpToDate>
  <CharactersWithSpaces>4329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2020-03-03T01:56:00Z</dcterms:created>
  <dc:creator>ys-pc</dc:creator>
  <cp:lastModifiedBy>Administrator</cp:lastModifiedBy>
  <cp:lastPrinted>2020-03-03T07:59:00Z</cp:lastPrinted>
  <dcterms:modified xsi:type="dcterms:W3CDTF">2020-12-14T07:40:17Z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