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w w:val="85"/>
          <w:sz w:val="56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濮阳市华龙区财政局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附件：濮阳市华龙区财政局2020年部门预算表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濮阳市华龙区</w:t>
      </w:r>
      <w:r>
        <w:rPr>
          <w:rFonts w:hint="eastAsia" w:ascii="仿宋" w:hAnsi="仿宋" w:eastAsia="仿宋"/>
          <w:color w:val="000000"/>
          <w:szCs w:val="32"/>
        </w:rPr>
        <w:t>财政局</w:t>
      </w:r>
      <w:r>
        <w:rPr>
          <w:rFonts w:hint="eastAsia" w:ascii="仿宋" w:hAnsi="仿宋" w:eastAsia="仿宋"/>
          <w:szCs w:val="32"/>
        </w:rPr>
        <w:t>是贯彻落实上级经济、财税政策法规，综合管理全区财政收支，实施财政监督，参与调控全区国民经济的区政府工作部门，主要职责有：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 xml:space="preserve">1.拟定和执行全区财政税收的发展规划、中长期规划、改革方案及有关政策，贯彻执行各项宏观经济政策，提出运用财税政策实施宏观调控和综合平衡社会财力的建议，贯彻执行区与乡办、国家与企业的分配政策。     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2.贯彻执行上级财政部门制定的财政、国有资产管理、财务、会计管理等方面的法规、条例和管理制度。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3.编制年度区级预决算草案并组织实施，受区政府委托，向区人民代表大会报告全区预算及其执行情况，向区人大常委会报告决算。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4.管理区级各项财政收入、预算外资金和财政专户，管理有关区级政府性基金，会同有关部门办理行政事业性收费、政府性基金申报工作。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5.管理区级财政公共支出，管理行政机构、事业单位的支出。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6.制定需要全区统一规定的标准和管理办法，贯彻执行政府采购政策，监督执行《行政单位财务规划》、《事业单位财务规划》。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7.负责行政事业单位国有资产管理工作。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8.负责全区企业财务制度的制定、监督和管理，监督执行《企业财务通则》。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9.指导全区乡办财政建设工作。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10.拟定全区基本建设财务管理制度，管理区级财政基本建设支出。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11.负责小城镇建设资金与财务管理。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12.拟定和执行国家社会保障资金的财务管理制度，管理全区财政社会保障支出。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13.组织实施对社会保障资金使用的财政监督。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14.执行国家国内、国外债务管理的方针政策和国债发行计划，拟定地方性有关政策和配套方法，组织参加政府债务的谈判和磋商，草签有关协议并管理政府债务。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15.参与全区住房制度和土地使用制度改革、拟定并监督执行住房资金，国有土地出让金收益财务管理、会计核算方法、指导监督有关部门住房管理资金。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16.管理全区会计工作，监督执行会计规章制度，《企业会计准则》，监督执行政府总预算、行政和事业单位及分行业的会计制度，依法监督经济鉴证类社会中介机构的业务活动，指导和规范注册会计师和会计事务所的执业行为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17.监督财税方针政策、法律法规、行政规章的执行情况，检查反映财政收支管理中的重大问题，提出加强财政管理的政策建议，负责对中介机构审计的企业年度会计报表的审查工作。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18.制定全区财政科学研究和教育规划，组织财政人才培训，负责财政信息和财政宣传工作。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19.承办区政府交办的其他事项。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根据工作职责及实际工作需要，华龙区</w:t>
      </w:r>
      <w:r>
        <w:rPr>
          <w:rFonts w:hint="eastAsia" w:ascii="仿宋" w:hAnsi="仿宋" w:eastAsia="仿宋"/>
          <w:color w:val="000000"/>
          <w:szCs w:val="32"/>
        </w:rPr>
        <w:t>财政局</w:t>
      </w:r>
      <w:r>
        <w:rPr>
          <w:rFonts w:hint="eastAsia" w:ascii="仿宋" w:hAnsi="仿宋" w:eastAsia="仿宋"/>
          <w:szCs w:val="32"/>
        </w:rPr>
        <w:t>设有办公室、综合股、预算国库股、行财社保股、农业经济建设股、企业金融股、服务业股等</w:t>
      </w:r>
      <w:r>
        <w:rPr>
          <w:rFonts w:ascii="仿宋" w:hAnsi="仿宋" w:eastAsia="仿宋"/>
          <w:color w:val="000000"/>
          <w:szCs w:val="32"/>
        </w:rPr>
        <w:t>18</w:t>
      </w:r>
      <w:r>
        <w:rPr>
          <w:rFonts w:hint="eastAsia" w:ascii="仿宋" w:hAnsi="仿宋" w:eastAsia="仿宋"/>
          <w:color w:val="000000"/>
          <w:szCs w:val="32"/>
        </w:rPr>
        <w:t>个</w:t>
      </w:r>
      <w:r>
        <w:rPr>
          <w:rFonts w:hint="eastAsia" w:ascii="仿宋" w:hAnsi="仿宋" w:eastAsia="仿宋"/>
          <w:szCs w:val="32"/>
        </w:rPr>
        <w:t>内设机构，本部门经费实行全额预算管理。本部门无独立核算的下属预算单位，部门本级预算即汇总预算。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20年本部门预算收入总计1745.26万元，支出总计1745.26万元。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20年本部门预算收入总计1745.26万元，支出总计1745.26万元。其中：基本支出1626.66万元，占比93%，项目支出118.6万元，占比7%。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较上年减少171.54万元，减少率9.8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。主要原因严格执行各项规章制度，压缩开支，厉行勤俭节约。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1626.66万元，其中：人员经费1553.06万元，主要包括：基本工资、津贴补贴、绩效工资、机关事业单位基本养老保险缴费、医疗保险缴费、其他社会保障缴费、住房公积金、其他工资福利支出、退休费、抚恤金；公用经费73.6万元，主要包括：办公费、维修（护）费、其他商品和服务支出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20年本部门机关运行经费安排73.6万元，主要用于保障机关机构正常运转及正常履职需要的办公费、维修（护）费、其他商品和服务支出等</w:t>
      </w:r>
      <w:r>
        <w:rPr>
          <w:rFonts w:hint="eastAsia" w:ascii="仿宋" w:hAnsi="仿宋" w:eastAsia="仿宋" w:cs="仿宋"/>
          <w:szCs w:val="32"/>
        </w:rPr>
        <w:t>。</w:t>
      </w:r>
      <w:r>
        <w:rPr>
          <w:rFonts w:hint="eastAsia" w:ascii="仿宋" w:hAnsi="仿宋" w:eastAsia="仿宋"/>
          <w:szCs w:val="32"/>
        </w:rPr>
        <w:t>比上年减少3万元，减少4%，主要原因是压缩开支，厉行节约。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20年本部门“三公”经费预算0万元，较上年减少5万元，</w:t>
      </w:r>
      <w:r>
        <w:rPr>
          <w:rFonts w:hint="eastAsia" w:ascii="仿宋" w:hAnsi="仿宋" w:eastAsia="仿宋"/>
          <w:szCs w:val="32"/>
          <w:lang w:val="en-US" w:eastAsia="zh-CN"/>
        </w:rPr>
        <w:t>减少100%,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主要原因是由于深入贯彻厉行节约有关精神，持续压减一般性支出，另因仍有部分上年度结转公车运行维护费，本年度暂未安排相关经费。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1.因公出国（境）费0万元；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2.公务用车购置及运行费0万元，其中：公务用车购置0万元，公务用车运行费0万元。</w:t>
      </w:r>
    </w:p>
    <w:p>
      <w:pPr>
        <w:ind w:firstLine="640" w:firstLineChars="200"/>
        <w:rPr>
          <w:rFonts w:ascii="仿宋" w:hAnsi="仿宋" w:eastAsia="仿宋"/>
          <w:color w:val="FF0000"/>
          <w:szCs w:val="32"/>
        </w:rPr>
      </w:pPr>
      <w:r>
        <w:rPr>
          <w:rFonts w:hint="eastAsia" w:ascii="仿宋" w:hAnsi="仿宋" w:eastAsia="仿宋"/>
          <w:szCs w:val="32"/>
        </w:rPr>
        <w:t>3.公务接待费0万元。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</w:t>
      </w:r>
      <w:r>
        <w:rPr>
          <w:rFonts w:hint="eastAsia" w:ascii="仿宋" w:hAnsi="仿宋" w:eastAsia="仿宋"/>
          <w:szCs w:val="32"/>
        </w:rPr>
        <w:t>020年本部门无政府采购预算安排。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政府性基金预算安排情况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Cs w:val="32"/>
          <w:lang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9年末，本部门共有：房屋建筑物960平方、56间；车辆3辆，其中：一般公务用车2辆、其他用车1辆，其他用车主要是评审工具车；单位价值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万元以上通用设备0台（套），单位价值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5个项目，102.6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090E43"/>
    <w:multiLevelType w:val="singleLevel"/>
    <w:tmpl w:val="D5090E43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A523D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060A4"/>
    <w:rsid w:val="007420AD"/>
    <w:rsid w:val="007C5FD2"/>
    <w:rsid w:val="00845860"/>
    <w:rsid w:val="008A08E8"/>
    <w:rsid w:val="008A2F34"/>
    <w:rsid w:val="008B13F2"/>
    <w:rsid w:val="008D7DD2"/>
    <w:rsid w:val="008E57A8"/>
    <w:rsid w:val="00925F66"/>
    <w:rsid w:val="00975602"/>
    <w:rsid w:val="00976444"/>
    <w:rsid w:val="009A1FE2"/>
    <w:rsid w:val="00A02B5D"/>
    <w:rsid w:val="00A26CBF"/>
    <w:rsid w:val="00A624D9"/>
    <w:rsid w:val="00B62460"/>
    <w:rsid w:val="00BC0D2F"/>
    <w:rsid w:val="00C15DCD"/>
    <w:rsid w:val="00C3001B"/>
    <w:rsid w:val="00C56A03"/>
    <w:rsid w:val="00C64288"/>
    <w:rsid w:val="00D56ECE"/>
    <w:rsid w:val="00DA4FD4"/>
    <w:rsid w:val="00DC5992"/>
    <w:rsid w:val="00DE79EC"/>
    <w:rsid w:val="00DF06AF"/>
    <w:rsid w:val="00E56EAF"/>
    <w:rsid w:val="00E72D14"/>
    <w:rsid w:val="00EE3DE6"/>
    <w:rsid w:val="00F34146"/>
    <w:rsid w:val="00F97444"/>
    <w:rsid w:val="00FC2311"/>
    <w:rsid w:val="00FD4637"/>
    <w:rsid w:val="00FE26A6"/>
    <w:rsid w:val="06C74E8B"/>
    <w:rsid w:val="09A451A7"/>
    <w:rsid w:val="1E7647D1"/>
    <w:rsid w:val="48B945CA"/>
    <w:rsid w:val="537D4091"/>
    <w:rsid w:val="77DB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列表段落1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452</Words>
  <Characters>2579</Characters>
  <Lines>21</Lines>
  <Paragraphs>6</Paragraphs>
  <TotalTime>1</TotalTime>
  <ScaleCrop>false</ScaleCrop>
  <LinksUpToDate>false</LinksUpToDate>
  <CharactersWithSpaces>3025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2020-12-14T07:44:22Z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