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  <w:t>濮阳市华龙区妇女联合会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濮阳市华龙区妇女联合会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领导全区妇女工作。</w:t>
      </w: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围绕区委、区政府的中心任务，团结、动员组织全区妇女群众投身改革开放和两大文明建设，为促进全区经济发展和社会进步服务。</w:t>
      </w: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3.宣传马克思主义妇女观和男女平等思想，积极推动和开展对妇女的政治思想、科技文化及生产技能教育，全面提高妇女素质。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4.积极向党委和政府反应妇女的意愿和要求，及时提出意见和建议，充分发挥民主参与和民主监督作用。　　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代表妇女参与国家和社会事务的民主管理和民主监督，促进妇女参政议政。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贯彻实施《妇女权益保障法》和妇女、儿童发展规划，参与有关妇女儿童政策、规划草案的拟定，会同有关部门做好维护妇女儿童合法权益工作，协调推动社会为妇女儿童办实事、办好事。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负责全区妇联组织建设，积极创新基层组织制度，协助党组织管理、选拔和培训妇联干部，对妇女儿童活动阵地进行规划和管理。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研究指导社区妇女工作，联系区妇联团体会员并给与指导和管理。</w:t>
      </w:r>
    </w:p>
    <w:p>
      <w:pPr>
        <w:spacing w:line="560" w:lineRule="exact"/>
        <w:ind w:firstLine="56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协助政府管理妇女儿童事务，承担华龙区妇女儿童工作委员会办公室工作。</w:t>
      </w:r>
    </w:p>
    <w:p>
      <w:pPr>
        <w:spacing w:line="560" w:lineRule="exact"/>
        <w:ind w:firstLine="563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10.</w:t>
      </w:r>
      <w:r>
        <w:rPr>
          <w:rFonts w:hint="eastAsia" w:ascii="仿宋" w:hAnsi="仿宋" w:eastAsia="仿宋" w:cs="仿宋"/>
          <w:sz w:val="32"/>
          <w:szCs w:val="32"/>
        </w:rPr>
        <w:t>承办区委、区政府交办的其他事项。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根据工作职责及实际工作需要，华龙区妇联设有办公室1个内设机构，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无所属二级预算单位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本部门经费实行全额预算管理。本部门无独立核算的下属预算单位，部门本级预算即汇总预算。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89.61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89.61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89.61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89.61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83.21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93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6.4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13.05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17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主要原因是由于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人员工资标准的调整和由此带来的各项社会保险缴存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基数的提高。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83.21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79.61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万元，主要包括：基本工资、津贴补贴、绩效工资、机关事业单位基本养老保险缴费、医疗保险缴费、其他社会保障缴费、住房公积金；公用经费</w:t>
      </w:r>
      <w:r>
        <w:rPr>
          <w:rFonts w:hint="eastAsia" w:ascii="仿宋" w:hAnsi="仿宋" w:eastAsia="仿宋"/>
          <w:szCs w:val="32"/>
          <w:lang w:val="en-US" w:eastAsia="zh-CN"/>
        </w:rPr>
        <w:t>3.6</w:t>
      </w:r>
      <w:r>
        <w:rPr>
          <w:rFonts w:hint="eastAsia" w:ascii="仿宋" w:hAnsi="仿宋" w:eastAsia="仿宋"/>
          <w:szCs w:val="32"/>
        </w:rPr>
        <w:t>万元，主要包括：办公费、其他商品和服务支出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3.6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</w:t>
      </w:r>
      <w:r>
        <w:rPr>
          <w:rFonts w:hint="eastAsia" w:ascii="仿宋" w:hAnsi="仿宋" w:eastAsia="仿宋"/>
          <w:szCs w:val="32"/>
          <w:lang w:eastAsia="zh-CN"/>
        </w:rPr>
        <w:t>、商品服务支出其他费用</w:t>
      </w:r>
      <w:r>
        <w:rPr>
          <w:rFonts w:hint="eastAsia" w:ascii="仿宋" w:hAnsi="仿宋" w:eastAsia="仿宋"/>
          <w:szCs w:val="32"/>
          <w:lang w:val="en-US" w:eastAsia="zh-CN"/>
        </w:rPr>
        <w:t>等方面</w:t>
      </w:r>
      <w:r>
        <w:rPr>
          <w:rFonts w:hint="eastAsia" w:ascii="仿宋" w:hAnsi="仿宋" w:eastAsia="仿宋"/>
          <w:szCs w:val="32"/>
        </w:rPr>
        <w:t>，比上年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0.4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12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Cs w:val="32"/>
          <w:lang w:eastAsia="zh-CN"/>
        </w:rPr>
        <w:t>由于业务量增加和有新进人员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/>
          <w:sz w:val="32"/>
          <w:szCs w:val="32"/>
        </w:rPr>
        <w:t>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持平</w:t>
      </w:r>
      <w:r>
        <w:rPr>
          <w:rFonts w:hint="eastAsia" w:ascii="仿宋" w:hAnsi="仿宋" w:eastAsia="仿宋"/>
          <w:sz w:val="32"/>
          <w:szCs w:val="32"/>
        </w:rPr>
        <w:t>，主要原因是由于公车改革后，公车运行数量减少，运行维护成本降低，以及严格执行相关规定，厉行勤俭节约，压减“三公”经费。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间；车辆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2.4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</w:t>
      </w:r>
      <w:r>
        <w:rPr>
          <w:rFonts w:hint="eastAsia" w:ascii="仿宋" w:hAnsi="仿宋" w:eastAsia="仿宋"/>
          <w:szCs w:val="32"/>
          <w:lang w:eastAsia="zh-CN"/>
        </w:rPr>
        <w:t>及商品服务支出其他</w:t>
      </w:r>
      <w:r>
        <w:rPr>
          <w:rFonts w:hint="eastAsia" w:ascii="仿宋" w:hAnsi="仿宋" w:eastAsia="仿宋"/>
          <w:szCs w:val="32"/>
        </w:rPr>
        <w:t>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5321BE6"/>
    <w:rsid w:val="09E34E4B"/>
    <w:rsid w:val="0FFF361A"/>
    <w:rsid w:val="119377CE"/>
    <w:rsid w:val="129651CD"/>
    <w:rsid w:val="1BE5773E"/>
    <w:rsid w:val="1CDF427C"/>
    <w:rsid w:val="22E4104C"/>
    <w:rsid w:val="23497E02"/>
    <w:rsid w:val="2D0879DB"/>
    <w:rsid w:val="326F00FF"/>
    <w:rsid w:val="3E38150D"/>
    <w:rsid w:val="40671A51"/>
    <w:rsid w:val="43B56A0D"/>
    <w:rsid w:val="443F3BE5"/>
    <w:rsid w:val="4B1C0DFF"/>
    <w:rsid w:val="4F7745A6"/>
    <w:rsid w:val="537D4091"/>
    <w:rsid w:val="566A1DBA"/>
    <w:rsid w:val="5C7B05B4"/>
    <w:rsid w:val="62504E3E"/>
    <w:rsid w:val="6A2F5FD7"/>
    <w:rsid w:val="6EE713AC"/>
    <w:rsid w:val="7C030E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2020-06-18T02:23:00Z</cp:lastPrinted>
  <dcterms:modified xsi:type="dcterms:W3CDTF">2020-12-14T07:51:19Z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