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E060A" w14:textId="77777777" w:rsidR="005B21A5" w:rsidRDefault="005B21A5">
      <w:pPr>
        <w:rPr>
          <w:rFonts w:ascii="方正小标宋_GBK" w:eastAsia="方正小标宋_GBK"/>
          <w:sz w:val="32"/>
        </w:rPr>
      </w:pPr>
    </w:p>
    <w:p w14:paraId="189A7DF5" w14:textId="77777777" w:rsidR="005B21A5" w:rsidRDefault="005B21A5">
      <w:pPr>
        <w:rPr>
          <w:rFonts w:ascii="方正小标宋_GBK" w:eastAsia="方正小标宋_GBK"/>
          <w:sz w:val="32"/>
        </w:rPr>
      </w:pPr>
    </w:p>
    <w:p w14:paraId="79DEEF0D" w14:textId="77777777" w:rsidR="005B21A5" w:rsidRDefault="005B21A5">
      <w:pPr>
        <w:rPr>
          <w:rFonts w:ascii="方正小标宋_GBK" w:eastAsia="方正小标宋_GBK"/>
          <w:sz w:val="32"/>
        </w:rPr>
      </w:pPr>
    </w:p>
    <w:p w14:paraId="7885B7C3" w14:textId="77777777" w:rsidR="005B21A5" w:rsidRDefault="000B78A3">
      <w:pPr>
        <w:jc w:val="center"/>
        <w:rPr>
          <w:rFonts w:ascii="方正小标宋_GBK" w:eastAsia="方正小标宋_GBK"/>
          <w:w w:val="85"/>
          <w:sz w:val="56"/>
        </w:rPr>
      </w:pPr>
      <w:r>
        <w:rPr>
          <w:rFonts w:ascii="方正小标宋_GBK" w:eastAsia="方正小标宋_GBK" w:hint="eastAsia"/>
          <w:w w:val="85"/>
          <w:sz w:val="56"/>
        </w:rPr>
        <w:t>濮阳市华龙区国土资源局</w:t>
      </w:r>
    </w:p>
    <w:p w14:paraId="3CE79F5D" w14:textId="77777777" w:rsidR="005B21A5" w:rsidRDefault="000B78A3">
      <w:pPr>
        <w:jc w:val="center"/>
        <w:rPr>
          <w:rFonts w:ascii="方正小标宋_GBK" w:eastAsia="方正小标宋_GBK"/>
          <w:spacing w:val="-20"/>
          <w:sz w:val="44"/>
        </w:rPr>
      </w:pPr>
      <w:r>
        <w:rPr>
          <w:rFonts w:ascii="方正小标宋_GBK" w:eastAsia="方正小标宋_GBK" w:hint="eastAsia"/>
          <w:w w:val="85"/>
          <w:sz w:val="56"/>
        </w:rPr>
        <w:t>2020年部门预算公开说明</w:t>
      </w:r>
    </w:p>
    <w:p w14:paraId="1CD97F70" w14:textId="77777777" w:rsidR="005B21A5" w:rsidRDefault="005B21A5">
      <w:pPr>
        <w:jc w:val="center"/>
        <w:rPr>
          <w:rFonts w:ascii="方正小标宋_GBK" w:eastAsia="方正小标宋_GBK"/>
          <w:sz w:val="40"/>
        </w:rPr>
      </w:pPr>
    </w:p>
    <w:p w14:paraId="5EFABE8E" w14:textId="77777777" w:rsidR="005B21A5" w:rsidRDefault="005B21A5">
      <w:pPr>
        <w:jc w:val="center"/>
        <w:rPr>
          <w:rFonts w:ascii="方正小标宋_GBK" w:eastAsia="方正小标宋_GBK"/>
          <w:sz w:val="40"/>
        </w:rPr>
      </w:pPr>
    </w:p>
    <w:p w14:paraId="546D49BE" w14:textId="77777777" w:rsidR="005B21A5" w:rsidRDefault="005B21A5">
      <w:pPr>
        <w:rPr>
          <w:rFonts w:ascii="方正小标宋_GBK" w:eastAsia="方正小标宋_GBK"/>
          <w:sz w:val="40"/>
        </w:rPr>
      </w:pPr>
    </w:p>
    <w:p w14:paraId="7FB2D709" w14:textId="77777777" w:rsidR="005B21A5" w:rsidRDefault="005B21A5">
      <w:pPr>
        <w:rPr>
          <w:rFonts w:ascii="方正小标宋_GBK" w:eastAsia="方正小标宋_GBK"/>
          <w:sz w:val="40"/>
        </w:rPr>
      </w:pPr>
    </w:p>
    <w:p w14:paraId="0AF06C62" w14:textId="77777777" w:rsidR="005B21A5" w:rsidRDefault="005B21A5">
      <w:pPr>
        <w:rPr>
          <w:rFonts w:ascii="方正小标宋_GBK" w:eastAsia="方正小标宋_GBK"/>
          <w:sz w:val="40"/>
        </w:rPr>
      </w:pPr>
    </w:p>
    <w:p w14:paraId="447AA5AC" w14:textId="77777777" w:rsidR="005B21A5" w:rsidRDefault="005B21A5">
      <w:pPr>
        <w:rPr>
          <w:rFonts w:ascii="方正小标宋_GBK" w:eastAsia="方正小标宋_GBK"/>
          <w:sz w:val="40"/>
        </w:rPr>
      </w:pPr>
    </w:p>
    <w:p w14:paraId="3032888F" w14:textId="77777777" w:rsidR="005B21A5" w:rsidRDefault="005B21A5">
      <w:pPr>
        <w:jc w:val="center"/>
        <w:rPr>
          <w:rFonts w:ascii="楷体_GB2312" w:eastAsia="楷体_GB2312"/>
          <w:b/>
          <w:w w:val="90"/>
          <w:sz w:val="40"/>
        </w:rPr>
      </w:pPr>
    </w:p>
    <w:p w14:paraId="1DAD9DF5" w14:textId="77777777" w:rsidR="005B21A5" w:rsidRDefault="000B78A3">
      <w:pPr>
        <w:jc w:val="center"/>
        <w:rPr>
          <w:rFonts w:ascii="方正小标宋_GBK" w:eastAsia="方正小标宋_GBK"/>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年六月</w:t>
      </w:r>
    </w:p>
    <w:p w14:paraId="289188D6" w14:textId="77777777" w:rsidR="005B21A5" w:rsidRDefault="000B78A3">
      <w:pPr>
        <w:rPr>
          <w:rFonts w:ascii="方正小标宋_GBK" w:eastAsia="方正小标宋_GBK"/>
          <w:sz w:val="32"/>
        </w:rPr>
      </w:pPr>
      <w:r>
        <w:rPr>
          <w:rFonts w:ascii="方正小标宋_GBK" w:eastAsia="方正小标宋_GBK"/>
          <w:sz w:val="32"/>
        </w:rPr>
        <w:br w:type="page"/>
      </w:r>
    </w:p>
    <w:p w14:paraId="723B427F" w14:textId="77777777" w:rsidR="005B21A5" w:rsidRDefault="000B78A3">
      <w:pPr>
        <w:pStyle w:val="a7"/>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 录</w:t>
      </w:r>
    </w:p>
    <w:p w14:paraId="6672EA49" w14:textId="77777777" w:rsidR="005B21A5" w:rsidRDefault="005B21A5">
      <w:pPr>
        <w:pStyle w:val="a7"/>
        <w:topLinePunct/>
        <w:spacing w:before="0" w:beforeAutospacing="0" w:after="0" w:afterAutospacing="0" w:line="360" w:lineRule="auto"/>
        <w:jc w:val="center"/>
        <w:rPr>
          <w:rFonts w:ascii="黑体" w:eastAsia="黑体" w:hAnsi="黑体"/>
          <w:color w:val="000000"/>
          <w:sz w:val="36"/>
          <w:szCs w:val="32"/>
        </w:rPr>
      </w:pPr>
    </w:p>
    <w:p w14:paraId="6192DEF0" w14:textId="77777777" w:rsidR="005B21A5" w:rsidRDefault="000B78A3">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5A7F9705"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一、部门主要职责</w:t>
      </w:r>
    </w:p>
    <w:p w14:paraId="6BD181FE"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二、机构设置情况</w:t>
      </w:r>
    </w:p>
    <w:p w14:paraId="5F74CBAE" w14:textId="77777777" w:rsidR="005B21A5" w:rsidRDefault="000B78A3">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 2020年部门预算情况说明 </w:t>
      </w:r>
    </w:p>
    <w:p w14:paraId="1EB6CD52" w14:textId="77777777" w:rsidR="005B21A5" w:rsidRDefault="000B78A3">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 名词解释</w:t>
      </w:r>
    </w:p>
    <w:p w14:paraId="65EF86F9" w14:textId="77777777" w:rsidR="005B21A5" w:rsidRDefault="000B78A3">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附件：濮阳市华龙区</w:t>
      </w:r>
      <w:r>
        <w:rPr>
          <w:rFonts w:ascii="黑体" w:eastAsia="黑体" w:hAnsi="黑体" w:hint="eastAsia"/>
          <w:sz w:val="32"/>
          <w:szCs w:val="32"/>
        </w:rPr>
        <w:t>国土资源局</w:t>
      </w:r>
      <w:r>
        <w:rPr>
          <w:rFonts w:ascii="黑体" w:eastAsia="黑体" w:hAnsi="黑体" w:hint="eastAsia"/>
          <w:color w:val="000000"/>
          <w:sz w:val="32"/>
          <w:szCs w:val="32"/>
        </w:rPr>
        <w:t>2020年部门预算表</w:t>
      </w:r>
    </w:p>
    <w:p w14:paraId="3119E389"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一、部门收支总体情况表</w:t>
      </w:r>
    </w:p>
    <w:p w14:paraId="493AD9E2"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二、部门收入总体情况表</w:t>
      </w:r>
    </w:p>
    <w:p w14:paraId="71C58824"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三、部门支出总体情况表</w:t>
      </w:r>
    </w:p>
    <w:p w14:paraId="4204D380"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四、财政拨款收支总体情况表</w:t>
      </w:r>
    </w:p>
    <w:p w14:paraId="4E32AA3E"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五、一般公共预算支出情况表</w:t>
      </w:r>
    </w:p>
    <w:p w14:paraId="08B9F713"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六、一般公共预算基本支出情况表</w:t>
      </w:r>
    </w:p>
    <w:p w14:paraId="6148529E"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七、一般公共预算“三公”经费支出情况表</w:t>
      </w:r>
    </w:p>
    <w:p w14:paraId="2E965283" w14:textId="77777777" w:rsidR="005B21A5" w:rsidRDefault="000B78A3">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八、政府性基金预算支出情况表</w:t>
      </w:r>
    </w:p>
    <w:p w14:paraId="57E840A2" w14:textId="77777777" w:rsidR="005B21A5" w:rsidRDefault="005B21A5">
      <w:pPr>
        <w:ind w:firstLineChars="200" w:firstLine="640"/>
        <w:rPr>
          <w:rFonts w:ascii="黑体" w:eastAsia="黑体" w:hAnsi="黑体"/>
          <w:sz w:val="32"/>
          <w:szCs w:val="32"/>
        </w:rPr>
      </w:pPr>
    </w:p>
    <w:p w14:paraId="040466EA" w14:textId="77777777" w:rsidR="005B21A5" w:rsidRDefault="000B78A3">
      <w:pPr>
        <w:rPr>
          <w:rFonts w:ascii="黑体" w:eastAsia="黑体" w:hAnsi="黑体"/>
          <w:sz w:val="32"/>
          <w:szCs w:val="32"/>
        </w:rPr>
      </w:pPr>
      <w:r>
        <w:rPr>
          <w:rFonts w:ascii="黑体" w:eastAsia="黑体" w:hAnsi="黑体"/>
          <w:sz w:val="32"/>
          <w:szCs w:val="32"/>
        </w:rPr>
        <w:br w:type="page"/>
      </w:r>
    </w:p>
    <w:p w14:paraId="37ECCD3D" w14:textId="77777777" w:rsidR="005B21A5" w:rsidRDefault="005B21A5">
      <w:pPr>
        <w:ind w:firstLineChars="200" w:firstLine="640"/>
        <w:rPr>
          <w:rFonts w:ascii="黑体" w:eastAsia="黑体" w:hAnsi="黑体"/>
          <w:sz w:val="32"/>
          <w:szCs w:val="32"/>
        </w:rPr>
      </w:pPr>
    </w:p>
    <w:p w14:paraId="128A79C6" w14:textId="77777777" w:rsidR="005B21A5" w:rsidRDefault="000B78A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656E67E3" w14:textId="77777777" w:rsidR="005B21A5" w:rsidRDefault="000B78A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579449D4" w14:textId="77777777" w:rsidR="005B21A5" w:rsidRDefault="000B78A3">
      <w:pPr>
        <w:ind w:firstLineChars="200" w:firstLine="640"/>
        <w:rPr>
          <w:rFonts w:ascii="黑体" w:eastAsia="黑体" w:hAnsi="黑体"/>
          <w:sz w:val="32"/>
          <w:szCs w:val="32"/>
        </w:rPr>
      </w:pPr>
      <w:r>
        <w:rPr>
          <w:rFonts w:ascii="黑体" w:eastAsia="黑体" w:hAnsi="黑体"/>
          <w:sz w:val="32"/>
          <w:szCs w:val="32"/>
        </w:rPr>
        <w:t> </w:t>
      </w:r>
    </w:p>
    <w:p w14:paraId="6EE1261A"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一、部门主要职责</w:t>
      </w:r>
    </w:p>
    <w:p w14:paraId="4E7F965A"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(一)贯彻执行国家、省、市有关土地、矿产资源的方针政策和法律法规；拟</w:t>
      </w:r>
      <w:r>
        <w:rPr>
          <w:rFonts w:ascii="仿宋" w:eastAsia="仿宋" w:hAnsi="仿宋" w:hint="eastAsia"/>
          <w:spacing w:val="-4"/>
          <w:sz w:val="32"/>
        </w:rPr>
        <w:t>订</w:t>
      </w:r>
      <w:r>
        <w:rPr>
          <w:rFonts w:ascii="仿宋" w:eastAsia="仿宋" w:hAnsi="仿宋" w:hint="eastAsia"/>
          <w:sz w:val="32"/>
        </w:rPr>
        <w:t>全区管理、保护与合理利用土地、矿产资源的规范性文件和地方配套政策。</w:t>
      </w:r>
    </w:p>
    <w:p w14:paraId="0FB7CB8C"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二）编制和实施区级国土规划、土地利用总体规划、矿产资源总体规划、其他国土资源专项规划及土地利用年度计划；指导、审核全区乡级国土规划、土地利用总体规划、矿产资源总体规划和其他国土资源专项规划；参与报市政府审批和经市政府报省政府审批的城市、城镇总体规划的审核。</w:t>
      </w:r>
      <w:r>
        <w:rPr>
          <w:rFonts w:ascii="仿宋" w:eastAsia="仿宋" w:hAnsi="仿宋" w:hint="eastAsia"/>
          <w:sz w:val="32"/>
        </w:rPr>
        <w:tab/>
      </w:r>
    </w:p>
    <w:p w14:paraId="19086CF7"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（三）监督检查全区国土资源部门行政执法和土地、矿产资源规划执行情况；依法保护土地、矿产资源所有者和使用者的合法权益；组织查处各类违法案件,调处权属纠纷。</w:t>
      </w:r>
    </w:p>
    <w:p w14:paraId="7348EE8F"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四）贯彻落实国家耕地特殊保护和鼓励耕地开发政策；实施农地用途管制,组织耕地保护,特别是基本农田保护；组织指导全区未利用土地开发、土地整理、土地复垦和开发耕地工作，实施有效管理、监督，确保耕地面积总量动态平衡。</w:t>
      </w:r>
    </w:p>
    <w:p w14:paraId="4FF4D1F1"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lastRenderedPageBreak/>
        <w:t>（五）组织全区土地资源调查、土地统计和动态监测；负责城乡地籍调查、土地确权、土地定级、登记、发证及日常地籍管理等工作；与上级国土资源部门共同负责城区土地资源调查、土地统计、动态监测以及土地分等定级、土地确权、土地登记发证及日常地籍管理等工作；组织并监督管理地籍测绘，确认地籍测绘成果。</w:t>
      </w:r>
    </w:p>
    <w:p w14:paraId="7E26FD43"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六）主管全区土地征用、农用地转用工作，承担报市政府审批和经市政府报省政府、国务院审批的农用地转用、土地征用的组织、报批工作；承担报区政府审批和经区政府报市政府审批的乡镇企业、乡、村公共设施、公益事业、农村村民住宅用地的报批工作；负责临时用地审批工作；负责拟</w:t>
      </w:r>
      <w:r>
        <w:rPr>
          <w:rFonts w:ascii="仿宋" w:eastAsia="仿宋" w:hAnsi="仿宋" w:hint="eastAsia"/>
          <w:spacing w:val="-4"/>
          <w:sz w:val="32"/>
        </w:rPr>
        <w:t>订</w:t>
      </w:r>
      <w:r>
        <w:rPr>
          <w:rFonts w:ascii="仿宋" w:eastAsia="仿宋" w:hAnsi="仿宋" w:hint="eastAsia"/>
          <w:sz w:val="32"/>
        </w:rPr>
        <w:t>全区土地征用、农用地转用补偿补助标准和安置政策,并组织实施；负责城区土地的统一征用、转用和划拨工作；负责全区农村集体非农土地使用权流转管理；承担设施农用地项目的审查备案工作。</w:t>
      </w:r>
      <w:r>
        <w:rPr>
          <w:rFonts w:ascii="仿宋" w:eastAsia="仿宋" w:hAnsi="仿宋" w:hint="eastAsia"/>
          <w:sz w:val="32"/>
        </w:rPr>
        <w:tab/>
      </w:r>
    </w:p>
    <w:p w14:paraId="38CEF711"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（七）依法管理全区矿产资源探矿权、采矿权的审查、报批、登记发证和转让审查、报批登记；参与区域性矿产资源开发利用和保护政策的制</w:t>
      </w:r>
      <w:r>
        <w:rPr>
          <w:rFonts w:ascii="仿宋" w:eastAsia="仿宋" w:hAnsi="仿宋" w:hint="eastAsia"/>
          <w:spacing w:val="-4"/>
          <w:sz w:val="32"/>
        </w:rPr>
        <w:t>订</w:t>
      </w:r>
      <w:r>
        <w:rPr>
          <w:rFonts w:ascii="仿宋" w:eastAsia="仿宋" w:hAnsi="仿宋" w:hint="eastAsia"/>
          <w:sz w:val="32"/>
        </w:rPr>
        <w:t>实施,依法审查全区对外合作区块；负责有关矿产资源储量报告的审核及开发利用方案的核准工作，承担矿产资源储量管理和地质资料汇交；依法实施地质勘查行业管理,对采矿权转让进行审查，管理地勘成果；确认探矿权、采矿权评估结果；推行矿产资源有偿开采制度,负责矿产资源补偿费的征收管理工作；对矿产资源包</w:t>
      </w:r>
      <w:r>
        <w:rPr>
          <w:rFonts w:ascii="仿宋" w:eastAsia="仿宋" w:hAnsi="仿宋" w:hint="eastAsia"/>
          <w:sz w:val="32"/>
        </w:rPr>
        <w:lastRenderedPageBreak/>
        <w:t>括地下水的勘查、开发、利用和保护进行监督管理。</w:t>
      </w:r>
      <w:r>
        <w:rPr>
          <w:rFonts w:ascii="仿宋" w:eastAsia="仿宋" w:hAnsi="仿宋" w:hint="eastAsia"/>
          <w:sz w:val="32"/>
        </w:rPr>
        <w:tab/>
      </w:r>
    </w:p>
    <w:p w14:paraId="76E9073D"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八）负责全区地质环境监督管理,参与编制全区环境保护规划；组织监测、防止地质灾害和保护地质遗迹；依法管理水文地质、工程地质、环境地质勘查和评价工作；监测、监督防止地下水的过量开发与污染,保护地质环境；认定区内具有价值的古生物化石产地、标准地质剖面等地质遗迹保护区。</w:t>
      </w:r>
      <w:r>
        <w:rPr>
          <w:rFonts w:ascii="仿宋" w:eastAsia="仿宋" w:hAnsi="仿宋" w:hint="eastAsia"/>
          <w:sz w:val="32"/>
        </w:rPr>
        <w:tab/>
      </w:r>
    </w:p>
    <w:p w14:paraId="64C7949C"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（九）制</w:t>
      </w:r>
      <w:r>
        <w:rPr>
          <w:rFonts w:ascii="仿宋" w:eastAsia="仿宋" w:hAnsi="仿宋" w:hint="eastAsia"/>
          <w:spacing w:val="-4"/>
          <w:sz w:val="32"/>
        </w:rPr>
        <w:t>订</w:t>
      </w:r>
      <w:r>
        <w:rPr>
          <w:rFonts w:ascii="仿宋" w:eastAsia="仿宋" w:hAnsi="仿宋" w:hint="eastAsia"/>
          <w:sz w:val="32"/>
        </w:rPr>
        <w:t>全区国土资源行业科技发展规划和措施；组织国土资源相关科技项目攻关和科技成果推广应用，推进科学技术进步;指导全区国土资源系统人员的业务技术培训和法律法规宣传教育工作；负责全区国土资源系统的对外科技合作与交流、培训等工作；负责全区国土资源系统队伍建设，管理局机关和直属单位人事与机构编制工作。</w:t>
      </w:r>
      <w:r>
        <w:rPr>
          <w:rFonts w:ascii="仿宋" w:eastAsia="仿宋" w:hAnsi="仿宋" w:hint="eastAsia"/>
          <w:sz w:val="32"/>
        </w:rPr>
        <w:tab/>
      </w:r>
    </w:p>
    <w:p w14:paraId="579D22C6"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（十）安排并监督、检查国家、省、市和区财政拨付的国土资源经费、专项经费及其他资金。</w:t>
      </w:r>
    </w:p>
    <w:p w14:paraId="424BFAAB" w14:textId="77777777" w:rsidR="005B21A5" w:rsidRDefault="000B78A3">
      <w:pPr>
        <w:spacing w:line="600" w:lineRule="exact"/>
        <w:ind w:firstLineChars="200" w:firstLine="640"/>
        <w:rPr>
          <w:rFonts w:ascii="仿宋" w:eastAsia="仿宋" w:hAnsi="仿宋"/>
          <w:sz w:val="32"/>
        </w:rPr>
      </w:pPr>
      <w:r>
        <w:rPr>
          <w:rFonts w:ascii="仿宋" w:eastAsia="仿宋" w:hAnsi="仿宋" w:hint="eastAsia"/>
          <w:sz w:val="32"/>
        </w:rPr>
        <w:t>（十一）承办区政府交办的其他事项。</w:t>
      </w:r>
    </w:p>
    <w:p w14:paraId="77DC4BCF"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二、机构设置情况</w:t>
      </w:r>
    </w:p>
    <w:p w14:paraId="33DDFB3E" w14:textId="6A52A46B" w:rsidR="005B21A5" w:rsidRDefault="000B78A3" w:rsidP="000B78A3">
      <w:pPr>
        <w:spacing w:line="600" w:lineRule="exact"/>
        <w:ind w:firstLineChars="200" w:firstLine="640"/>
        <w:rPr>
          <w:rFonts w:ascii="黑体" w:eastAsia="黑体" w:hAnsi="黑体"/>
          <w:sz w:val="32"/>
          <w:szCs w:val="32"/>
        </w:rPr>
      </w:pPr>
      <w:r>
        <w:rPr>
          <w:rFonts w:ascii="仿宋" w:eastAsia="仿宋" w:hAnsi="仿宋" w:hint="eastAsia"/>
          <w:sz w:val="32"/>
          <w:szCs w:val="32"/>
        </w:rPr>
        <w:t>根据工作职责及实际工作需要，华龙区</w:t>
      </w:r>
      <w:r>
        <w:rPr>
          <w:rFonts w:ascii="仿宋" w:eastAsia="仿宋" w:hAnsi="仿宋" w:hint="eastAsia"/>
          <w:sz w:val="32"/>
        </w:rPr>
        <w:t>国土资源局内设办公室、综合股，以及土地执法监察大队、建设用地征用管理事务所、土地收购储备中心、胜利国土资源所，孟轲国土资源所5个非独立核算的二级单位。</w:t>
      </w:r>
      <w:r>
        <w:rPr>
          <w:rFonts w:ascii="仿宋" w:eastAsia="仿宋" w:hAnsi="仿宋" w:hint="eastAsia"/>
          <w:sz w:val="32"/>
          <w:szCs w:val="32"/>
        </w:rPr>
        <w:t>本部门无独立核算的下属预算单位，部门本级预算即汇总预算。</w:t>
      </w:r>
    </w:p>
    <w:p w14:paraId="65FC46FF" w14:textId="77777777" w:rsidR="005B21A5" w:rsidRDefault="005B21A5">
      <w:pPr>
        <w:ind w:firstLineChars="200" w:firstLine="640"/>
        <w:rPr>
          <w:rFonts w:ascii="黑体" w:eastAsia="黑体" w:hAnsi="黑体"/>
          <w:sz w:val="32"/>
          <w:szCs w:val="32"/>
        </w:rPr>
      </w:pPr>
    </w:p>
    <w:p w14:paraId="1A3C9DCC" w14:textId="77777777" w:rsidR="005B21A5" w:rsidRDefault="000B78A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lastRenderedPageBreak/>
        <w:t>第二部分</w:t>
      </w:r>
    </w:p>
    <w:p w14:paraId="227E69F0" w14:textId="77777777" w:rsidR="005B21A5" w:rsidRDefault="000B78A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2020年部门预算情况说明</w:t>
      </w:r>
    </w:p>
    <w:p w14:paraId="66B2D2F5" w14:textId="77777777" w:rsidR="005B21A5" w:rsidRDefault="005B21A5">
      <w:pPr>
        <w:ind w:firstLineChars="200" w:firstLine="640"/>
        <w:rPr>
          <w:rFonts w:ascii="华文仿宋" w:eastAsia="华文仿宋" w:hAnsi="华文仿宋"/>
          <w:sz w:val="32"/>
          <w:szCs w:val="32"/>
        </w:rPr>
      </w:pPr>
    </w:p>
    <w:p w14:paraId="7553F8BD"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一、本级预算和所属单位预算在内的汇总预算总体情况</w:t>
      </w:r>
    </w:p>
    <w:p w14:paraId="317A4E8A"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本部门无独立核算的下属预算单位，部门本级预算即汇总预算。2020年本部门财政预算收入总计570.58万元，支出总计570.58万元。</w:t>
      </w:r>
    </w:p>
    <w:p w14:paraId="3C23E2EB"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二、部门预算收支增减变动情况</w:t>
      </w:r>
    </w:p>
    <w:p w14:paraId="47C52298" w14:textId="77777777" w:rsidR="005B21A5" w:rsidRDefault="000B78A3">
      <w:pPr>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20年本部门财政预算收入总计570.58万元，支出总计570.58万元。其中：基本支出445.85万元，占比78.14%，项目支出124.73万元，占比21.86%。</w:t>
      </w:r>
    </w:p>
    <w:p w14:paraId="70CCF729" w14:textId="3FB65C4A" w:rsidR="005B21A5" w:rsidRDefault="000B78A3">
      <w:pPr>
        <w:ind w:firstLineChars="200" w:firstLine="640"/>
        <w:rPr>
          <w:rFonts w:ascii="仿宋" w:eastAsia="仿宋" w:hAnsi="仿宋"/>
          <w:sz w:val="32"/>
          <w:szCs w:val="32"/>
        </w:rPr>
      </w:pPr>
      <w:r>
        <w:rPr>
          <w:rFonts w:ascii="仿宋" w:eastAsia="仿宋" w:hAnsi="仿宋" w:hint="eastAsia"/>
          <w:sz w:val="32"/>
          <w:szCs w:val="32"/>
        </w:rPr>
        <w:t>2020年本部门财政预算</w:t>
      </w:r>
      <w:r w:rsidR="004003B6">
        <w:rPr>
          <w:rFonts w:ascii="仿宋" w:eastAsia="仿宋" w:hAnsi="仿宋" w:hint="eastAsia"/>
          <w:sz w:val="32"/>
          <w:szCs w:val="32"/>
        </w:rPr>
        <w:t>收入和支出均</w:t>
      </w:r>
      <w:r>
        <w:rPr>
          <w:rFonts w:ascii="仿宋" w:eastAsia="仿宋" w:hAnsi="仿宋" w:hint="eastAsia"/>
          <w:sz w:val="32"/>
          <w:szCs w:val="32"/>
        </w:rPr>
        <w:t>较上年减少292.07万元，减少33.85</w:t>
      </w:r>
      <w:r>
        <w:rPr>
          <w:rFonts w:ascii="仿宋" w:eastAsia="仿宋" w:hAnsi="仿宋"/>
          <w:sz w:val="32"/>
          <w:szCs w:val="32"/>
        </w:rPr>
        <w:t>%</w:t>
      </w:r>
      <w:r>
        <w:rPr>
          <w:rFonts w:ascii="仿宋" w:eastAsia="仿宋" w:hAnsi="仿宋" w:hint="eastAsia"/>
          <w:sz w:val="32"/>
          <w:szCs w:val="32"/>
        </w:rPr>
        <w:t>。主要原因是按照政府厉行节约要求，统一压减一般、政策及重点专项经费支出，以及一次性、临时性项目支出的减少。</w:t>
      </w:r>
    </w:p>
    <w:p w14:paraId="0232C6DA"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三、一般公共预算基本支出情况</w:t>
      </w:r>
    </w:p>
    <w:p w14:paraId="71033C7C" w14:textId="235FC050" w:rsidR="005B21A5" w:rsidRDefault="000B78A3">
      <w:pPr>
        <w:ind w:firstLineChars="200" w:firstLine="640"/>
        <w:rPr>
          <w:rFonts w:ascii="仿宋" w:eastAsia="仿宋" w:hAnsi="仿宋"/>
          <w:sz w:val="32"/>
          <w:szCs w:val="32"/>
        </w:rPr>
      </w:pPr>
      <w:r>
        <w:rPr>
          <w:rFonts w:ascii="仿宋" w:eastAsia="仿宋" w:hAnsi="仿宋" w:hint="eastAsia"/>
          <w:sz w:val="32"/>
          <w:szCs w:val="32"/>
        </w:rPr>
        <w:t>2020年本部门一般公共预算基本支出445.85万元，其中：人员经费435.25万元，主要包括：基本工资、津贴补贴、绩效工资、机关事业单位基本养老保险缴费、职业年金缴费、医疗保险缴费、其他社会保障缴费、住房公积金、其他工资福利支出、退休费、其他对个人和家庭的补助支出；公用经费10.6万元，主要包括：办公费、维修（护）费、</w:t>
      </w:r>
      <w:r>
        <w:rPr>
          <w:rFonts w:ascii="仿宋" w:eastAsia="仿宋" w:hAnsi="仿宋" w:hint="eastAsia"/>
          <w:sz w:val="32"/>
          <w:szCs w:val="32"/>
        </w:rPr>
        <w:lastRenderedPageBreak/>
        <w:t>会议费、培训费、公务接待费、委托业务费、公务用车运行维护费、其他商品和服务支出。</w:t>
      </w:r>
    </w:p>
    <w:p w14:paraId="24345018"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四、机关运行经费安排情况</w:t>
      </w:r>
    </w:p>
    <w:p w14:paraId="05F17A9F"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2020年本部门机关运行经费安排10.6万元，主要用于办公费、维修（护）费、会议费、培训费、公务接待费、委托业务费、公务用车运行维护费、其他商品和服务支出，比上年减少0.4万元，减少0.036%，主要原因是单位人员退休。</w:t>
      </w:r>
    </w:p>
    <w:p w14:paraId="1BF9C755"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五、“三公”经费安排情况</w:t>
      </w:r>
    </w:p>
    <w:p w14:paraId="5860C9BD"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2020年本部门“三公”经费预算3.1万元，较上年减少6.2万元，主要原因是本年按照政府厉行节约要求，压减支出。</w:t>
      </w:r>
    </w:p>
    <w:p w14:paraId="14284AE7"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1.因公出国（境）费0万元；</w:t>
      </w:r>
    </w:p>
    <w:p w14:paraId="68CE4154"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2.公务用车购置及运行费3万元，其中：公务用车购置0万元，公务用车运行费3万元。</w:t>
      </w:r>
    </w:p>
    <w:p w14:paraId="4BAD234F"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3.公务接待费0.1万元。</w:t>
      </w:r>
    </w:p>
    <w:p w14:paraId="4C3067D6" w14:textId="77777777" w:rsidR="005B21A5" w:rsidRDefault="000B78A3">
      <w:pPr>
        <w:ind w:firstLineChars="200" w:firstLine="640"/>
        <w:rPr>
          <w:rFonts w:ascii="仿宋" w:eastAsia="仿宋" w:hAnsi="仿宋"/>
          <w:sz w:val="32"/>
          <w:szCs w:val="32"/>
        </w:rPr>
      </w:pPr>
      <w:r>
        <w:rPr>
          <w:rFonts w:ascii="黑体" w:eastAsia="黑体" w:hAnsi="黑体" w:hint="eastAsia"/>
          <w:sz w:val="32"/>
          <w:szCs w:val="32"/>
        </w:rPr>
        <w:t>六、政府采购安排情况</w:t>
      </w:r>
    </w:p>
    <w:p w14:paraId="780C6A49"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2020年本部门拟安排政府采购预算31万元，其中：政府采购服务支出31万元。具体采购明细如下：</w:t>
      </w:r>
    </w:p>
    <w:p w14:paraId="0F5661CB"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政府采购服务，1批15人，共计31万元。</w:t>
      </w:r>
    </w:p>
    <w:p w14:paraId="7FF2522E" w14:textId="77777777" w:rsidR="005B21A5" w:rsidRDefault="000B78A3">
      <w:pPr>
        <w:ind w:firstLineChars="200" w:firstLine="640"/>
        <w:rPr>
          <w:rFonts w:ascii="黑体" w:eastAsia="黑体" w:hAnsi="黑体"/>
          <w:sz w:val="32"/>
          <w:szCs w:val="32"/>
        </w:rPr>
      </w:pPr>
      <w:r>
        <w:rPr>
          <w:rFonts w:ascii="黑体" w:eastAsia="黑体" w:hAnsi="黑体" w:hint="eastAsia"/>
          <w:sz w:val="32"/>
          <w:szCs w:val="32"/>
        </w:rPr>
        <w:t>七、政府性基金预算安排情况</w:t>
      </w:r>
    </w:p>
    <w:p w14:paraId="0E4799B6" w14:textId="32EA3DDA" w:rsidR="005B21A5" w:rsidRDefault="000B78A3">
      <w:pPr>
        <w:ind w:firstLineChars="200" w:firstLine="640"/>
        <w:rPr>
          <w:rFonts w:ascii="仿宋" w:eastAsia="仿宋" w:hAnsi="仿宋"/>
          <w:sz w:val="32"/>
          <w:szCs w:val="32"/>
        </w:rPr>
      </w:pPr>
      <w:r>
        <w:rPr>
          <w:rFonts w:ascii="仿宋" w:eastAsia="仿宋" w:hAnsi="仿宋" w:hint="eastAsia"/>
          <w:sz w:val="32"/>
          <w:szCs w:val="32"/>
        </w:rPr>
        <w:t>本部门无政府性基金预算</w:t>
      </w:r>
      <w:r w:rsidR="004003B6">
        <w:rPr>
          <w:rFonts w:ascii="仿宋" w:eastAsia="仿宋" w:hAnsi="仿宋" w:hint="eastAsia"/>
          <w:sz w:val="32"/>
          <w:szCs w:val="32"/>
        </w:rPr>
        <w:t>收支</w:t>
      </w:r>
      <w:r>
        <w:rPr>
          <w:rFonts w:ascii="仿宋" w:eastAsia="仿宋" w:hAnsi="仿宋" w:hint="eastAsia"/>
          <w:sz w:val="32"/>
          <w:szCs w:val="32"/>
        </w:rPr>
        <w:t>安排</w:t>
      </w:r>
      <w:r w:rsidR="004003B6">
        <w:rPr>
          <w:rFonts w:ascii="仿宋" w:eastAsia="仿宋" w:hAnsi="仿宋" w:hint="eastAsia"/>
          <w:sz w:val="32"/>
          <w:szCs w:val="32"/>
        </w:rPr>
        <w:t>，较上年无变动</w:t>
      </w:r>
      <w:r>
        <w:rPr>
          <w:rFonts w:ascii="仿宋" w:eastAsia="仿宋" w:hAnsi="仿宋" w:hint="eastAsia"/>
          <w:sz w:val="32"/>
          <w:szCs w:val="32"/>
        </w:rPr>
        <w:t>。</w:t>
      </w:r>
    </w:p>
    <w:p w14:paraId="6BE09D47" w14:textId="77777777" w:rsidR="005B21A5" w:rsidRDefault="000B78A3">
      <w:pPr>
        <w:ind w:firstLineChars="200" w:firstLine="640"/>
        <w:rPr>
          <w:rFonts w:ascii="仿宋" w:eastAsia="仿宋" w:hAnsi="仿宋" w:cs="仿宋"/>
          <w:sz w:val="32"/>
          <w:szCs w:val="32"/>
        </w:rPr>
      </w:pPr>
      <w:r>
        <w:rPr>
          <w:rFonts w:ascii="黑体" w:eastAsia="黑体" w:hAnsi="黑体" w:cs="黑体" w:hint="eastAsia"/>
          <w:sz w:val="32"/>
          <w:szCs w:val="32"/>
        </w:rPr>
        <w:t>八、国有资产占用情况</w:t>
      </w:r>
    </w:p>
    <w:p w14:paraId="22FE958B" w14:textId="77777777" w:rsidR="005B21A5" w:rsidRDefault="000B78A3">
      <w:pPr>
        <w:ind w:firstLineChars="200" w:firstLine="640"/>
        <w:rPr>
          <w:rFonts w:ascii="仿宋" w:eastAsia="仿宋" w:hAnsi="仿宋" w:cs="仿宋"/>
          <w:sz w:val="32"/>
          <w:szCs w:val="32"/>
        </w:rPr>
      </w:pPr>
      <w:r>
        <w:rPr>
          <w:rFonts w:ascii="仿宋" w:eastAsia="仿宋" w:hAnsi="仿宋" w:cs="仿宋" w:hint="eastAsia"/>
          <w:sz w:val="32"/>
          <w:szCs w:val="32"/>
        </w:rPr>
        <w:lastRenderedPageBreak/>
        <w:t>截止2019年末，本部门共有：房屋建筑物1400平方；车辆4辆，其中：一般公务用车1辆、一般执法执勤用车2辆，其他用车1辆，其他用车主要是用于征地事务；单位价值50万元以上通用设备0台（套），单位价值100万元以上专用设备0台（套）。</w:t>
      </w:r>
    </w:p>
    <w:p w14:paraId="1BBBCCF1" w14:textId="77777777" w:rsidR="005B21A5" w:rsidRDefault="000B78A3">
      <w:pPr>
        <w:ind w:firstLineChars="200" w:firstLine="640"/>
        <w:rPr>
          <w:rFonts w:ascii="仿宋" w:eastAsia="仿宋" w:hAnsi="仿宋" w:cs="仿宋"/>
          <w:sz w:val="32"/>
          <w:szCs w:val="32"/>
        </w:rPr>
      </w:pPr>
      <w:r>
        <w:rPr>
          <w:rFonts w:ascii="黑体" w:eastAsia="黑体" w:hAnsi="黑体" w:cs="黑体" w:hint="eastAsia"/>
          <w:sz w:val="32"/>
          <w:szCs w:val="32"/>
        </w:rPr>
        <w:t>九、预算绩效管理工作开展情况</w:t>
      </w:r>
    </w:p>
    <w:p w14:paraId="0EB1EC0E" w14:textId="77777777" w:rsidR="005B21A5" w:rsidRDefault="000B78A3">
      <w:pPr>
        <w:ind w:firstLineChars="200" w:firstLine="640"/>
        <w:rPr>
          <w:rFonts w:ascii="仿宋" w:eastAsia="仿宋" w:hAnsi="仿宋"/>
          <w:sz w:val="32"/>
          <w:szCs w:val="32"/>
        </w:rPr>
      </w:pPr>
      <w:r>
        <w:rPr>
          <w:rFonts w:ascii="仿宋" w:eastAsia="仿宋" w:hAnsi="仿宋" w:cs="仿宋" w:hint="eastAsia"/>
          <w:sz w:val="32"/>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2个项目，16万元，并将以此为基础开展后续预算绩效管理工作，努力建立健全以结果为导向的预算绩效管理工作机制。</w:t>
      </w:r>
    </w:p>
    <w:p w14:paraId="5AB998E5" w14:textId="77777777" w:rsidR="005B21A5" w:rsidRDefault="005B21A5">
      <w:pPr>
        <w:rPr>
          <w:rFonts w:ascii="黑体" w:eastAsia="黑体" w:hAnsi="黑体"/>
          <w:sz w:val="32"/>
          <w:szCs w:val="32"/>
        </w:rPr>
      </w:pPr>
    </w:p>
    <w:p w14:paraId="1D2B71CB" w14:textId="77777777" w:rsidR="005B21A5" w:rsidRDefault="000B78A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br w:type="page"/>
      </w:r>
      <w:r>
        <w:rPr>
          <w:rFonts w:ascii="黑体" w:eastAsia="黑体" w:hAnsi="黑体" w:hint="eastAsia"/>
          <w:color w:val="000000"/>
          <w:sz w:val="36"/>
          <w:szCs w:val="32"/>
        </w:rPr>
        <w:lastRenderedPageBreak/>
        <w:t>第三部分</w:t>
      </w:r>
    </w:p>
    <w:p w14:paraId="26B9421A" w14:textId="77777777" w:rsidR="005B21A5" w:rsidRDefault="000B78A3">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2C29B29E" w14:textId="77777777" w:rsidR="005B21A5" w:rsidRDefault="005B21A5">
      <w:pPr>
        <w:ind w:firstLineChars="200" w:firstLine="640"/>
        <w:rPr>
          <w:rFonts w:ascii="仿宋" w:eastAsia="仿宋" w:hAnsi="仿宋"/>
          <w:sz w:val="32"/>
          <w:szCs w:val="32"/>
        </w:rPr>
      </w:pPr>
    </w:p>
    <w:p w14:paraId="56B622B3" w14:textId="77777777" w:rsidR="005B21A5" w:rsidRDefault="000B78A3">
      <w:pPr>
        <w:ind w:firstLine="640"/>
        <w:rPr>
          <w:rFonts w:ascii="黑体" w:eastAsia="黑体" w:hAnsi="黑体"/>
          <w:sz w:val="32"/>
          <w:szCs w:val="32"/>
        </w:rPr>
      </w:pPr>
      <w:r>
        <w:rPr>
          <w:rFonts w:ascii="黑体" w:eastAsia="黑体" w:hAnsi="黑体" w:hint="eastAsia"/>
          <w:sz w:val="32"/>
          <w:szCs w:val="32"/>
        </w:rPr>
        <w:t>一、财政拨款收入</w:t>
      </w:r>
    </w:p>
    <w:p w14:paraId="245E1BEC" w14:textId="77777777" w:rsidR="005B21A5" w:rsidRDefault="000B78A3">
      <w:pPr>
        <w:ind w:firstLine="640"/>
        <w:rPr>
          <w:rFonts w:ascii="仿宋" w:eastAsia="仿宋" w:hAnsi="仿宋"/>
          <w:sz w:val="32"/>
          <w:szCs w:val="32"/>
        </w:rPr>
      </w:pPr>
      <w:r>
        <w:rPr>
          <w:rFonts w:ascii="仿宋" w:eastAsia="仿宋" w:hAnsi="仿宋" w:hint="eastAsia"/>
          <w:sz w:val="32"/>
          <w:szCs w:val="32"/>
        </w:rPr>
        <w:t>指本级财政当年拨付的资金。</w:t>
      </w:r>
    </w:p>
    <w:p w14:paraId="4961FFFB" w14:textId="77777777" w:rsidR="005B21A5" w:rsidRDefault="000B78A3">
      <w:pPr>
        <w:ind w:firstLine="640"/>
        <w:rPr>
          <w:rFonts w:ascii="黑体" w:eastAsia="黑体" w:hAnsi="黑体"/>
          <w:sz w:val="32"/>
          <w:szCs w:val="32"/>
        </w:rPr>
      </w:pPr>
      <w:r>
        <w:rPr>
          <w:rFonts w:ascii="黑体" w:eastAsia="黑体" w:hAnsi="黑体" w:hint="eastAsia"/>
          <w:sz w:val="32"/>
          <w:szCs w:val="32"/>
        </w:rPr>
        <w:t>二、事业收入</w:t>
      </w:r>
    </w:p>
    <w:p w14:paraId="4FA61274"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311ED6EA" w14:textId="77777777" w:rsidR="005B21A5" w:rsidRDefault="000B78A3">
      <w:pPr>
        <w:ind w:firstLine="640"/>
        <w:rPr>
          <w:rFonts w:ascii="黑体" w:eastAsia="黑体" w:hAnsi="黑体"/>
          <w:sz w:val="32"/>
          <w:szCs w:val="32"/>
        </w:rPr>
      </w:pPr>
      <w:r>
        <w:rPr>
          <w:rFonts w:ascii="黑体" w:eastAsia="黑体" w:hAnsi="黑体" w:hint="eastAsia"/>
          <w:sz w:val="32"/>
          <w:szCs w:val="32"/>
        </w:rPr>
        <w:t>三、其他收入</w:t>
      </w:r>
    </w:p>
    <w:p w14:paraId="0727A2A2"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指除上述“财政拨款”、“事业收入”、“事业单位经营收入”、“附属单位上缴收入”等以外的收入。</w:t>
      </w:r>
    </w:p>
    <w:p w14:paraId="1696C93E" w14:textId="77777777" w:rsidR="005B21A5" w:rsidRDefault="000B78A3">
      <w:pPr>
        <w:ind w:firstLine="640"/>
        <w:rPr>
          <w:rFonts w:ascii="黑体" w:eastAsia="黑体" w:hAnsi="黑体"/>
          <w:sz w:val="32"/>
          <w:szCs w:val="32"/>
        </w:rPr>
      </w:pPr>
      <w:r>
        <w:rPr>
          <w:rFonts w:ascii="黑体" w:eastAsia="黑体" w:hAnsi="黑体" w:hint="eastAsia"/>
          <w:sz w:val="32"/>
          <w:szCs w:val="32"/>
        </w:rPr>
        <w:t>四、基本支出</w:t>
      </w:r>
    </w:p>
    <w:p w14:paraId="31B2FF54"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指为保障机构正常运转、完成日常工作任务所必需的开支，其内容包括人员经费和日常公用经费两部分。</w:t>
      </w:r>
    </w:p>
    <w:p w14:paraId="3AFA0F02" w14:textId="77777777" w:rsidR="005B21A5" w:rsidRDefault="000B78A3">
      <w:pPr>
        <w:ind w:firstLine="640"/>
        <w:rPr>
          <w:rFonts w:ascii="黑体" w:eastAsia="黑体" w:hAnsi="黑体"/>
          <w:sz w:val="32"/>
          <w:szCs w:val="32"/>
        </w:rPr>
      </w:pPr>
      <w:r>
        <w:rPr>
          <w:rFonts w:ascii="黑体" w:eastAsia="黑体" w:hAnsi="黑体" w:hint="eastAsia"/>
          <w:sz w:val="32"/>
          <w:szCs w:val="32"/>
        </w:rPr>
        <w:t>五、项目支出</w:t>
      </w:r>
    </w:p>
    <w:p w14:paraId="261EA33C"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指在基本支出之外，为完成特定的行政工作任务或事业发展目标所发生的支出。</w:t>
      </w:r>
    </w:p>
    <w:p w14:paraId="0068F0AB" w14:textId="77777777" w:rsidR="005B21A5" w:rsidRDefault="000B78A3">
      <w:pPr>
        <w:ind w:firstLine="640"/>
        <w:rPr>
          <w:rFonts w:ascii="黑体" w:eastAsia="黑体" w:hAnsi="黑体"/>
          <w:sz w:val="32"/>
          <w:szCs w:val="32"/>
        </w:rPr>
      </w:pPr>
      <w:r>
        <w:rPr>
          <w:rFonts w:ascii="黑体" w:eastAsia="黑体" w:hAnsi="黑体" w:hint="eastAsia"/>
          <w:sz w:val="32"/>
          <w:szCs w:val="32"/>
        </w:rPr>
        <w:t>六、机关运行经费</w:t>
      </w:r>
    </w:p>
    <w:p w14:paraId="54E5889E"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04B6ED98" w14:textId="77777777" w:rsidR="005B21A5" w:rsidRDefault="000B78A3">
      <w:pPr>
        <w:ind w:firstLine="640"/>
        <w:rPr>
          <w:rFonts w:ascii="黑体" w:eastAsia="黑体" w:hAnsi="黑体"/>
          <w:sz w:val="32"/>
          <w:szCs w:val="32"/>
        </w:rPr>
      </w:pPr>
      <w:r>
        <w:rPr>
          <w:rFonts w:ascii="黑体" w:eastAsia="黑体" w:hAnsi="黑体" w:hint="eastAsia"/>
          <w:sz w:val="32"/>
          <w:szCs w:val="32"/>
        </w:rPr>
        <w:lastRenderedPageBreak/>
        <w:t>七、“三公”经费</w:t>
      </w:r>
    </w:p>
    <w:p w14:paraId="78C59A0F" w14:textId="77777777" w:rsidR="005B21A5" w:rsidRDefault="000B78A3">
      <w:pPr>
        <w:ind w:firstLineChars="200" w:firstLine="640"/>
        <w:rPr>
          <w:rFonts w:ascii="仿宋" w:eastAsia="仿宋" w:hAnsi="仿宋"/>
          <w:sz w:val="32"/>
          <w:szCs w:val="32"/>
        </w:rPr>
      </w:pPr>
      <w:r>
        <w:rPr>
          <w:rFonts w:ascii="仿宋" w:eastAsia="仿宋" w:hAnsi="仿宋" w:hint="eastAsia"/>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14:paraId="4FB43A58" w14:textId="77777777" w:rsidR="005B21A5" w:rsidRDefault="005B21A5">
      <w:pPr>
        <w:ind w:firstLineChars="200" w:firstLine="640"/>
        <w:rPr>
          <w:rFonts w:ascii="仿宋" w:eastAsia="仿宋" w:hAnsi="仿宋"/>
          <w:sz w:val="32"/>
          <w:szCs w:val="32"/>
        </w:rPr>
      </w:pPr>
    </w:p>
    <w:p w14:paraId="628DEEED" w14:textId="77777777" w:rsidR="005B21A5" w:rsidRDefault="005B21A5">
      <w:pPr>
        <w:ind w:firstLineChars="200" w:firstLine="640"/>
        <w:rPr>
          <w:rFonts w:ascii="仿宋" w:eastAsia="仿宋" w:hAnsi="仿宋"/>
          <w:sz w:val="32"/>
          <w:szCs w:val="32"/>
        </w:rPr>
      </w:pPr>
    </w:p>
    <w:sectPr w:rsidR="005B21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521D"/>
    <w:rsid w:val="00002196"/>
    <w:rsid w:val="000132E8"/>
    <w:rsid w:val="00016BED"/>
    <w:rsid w:val="0002164D"/>
    <w:rsid w:val="000430FF"/>
    <w:rsid w:val="00061554"/>
    <w:rsid w:val="00072768"/>
    <w:rsid w:val="00073460"/>
    <w:rsid w:val="00073A1C"/>
    <w:rsid w:val="00080A73"/>
    <w:rsid w:val="00083F78"/>
    <w:rsid w:val="00084BC7"/>
    <w:rsid w:val="000A120E"/>
    <w:rsid w:val="000A2622"/>
    <w:rsid w:val="000B0330"/>
    <w:rsid w:val="000B78A3"/>
    <w:rsid w:val="000D10F2"/>
    <w:rsid w:val="000E11AD"/>
    <w:rsid w:val="000E2600"/>
    <w:rsid w:val="000F620F"/>
    <w:rsid w:val="0011394B"/>
    <w:rsid w:val="00117E91"/>
    <w:rsid w:val="0012037F"/>
    <w:rsid w:val="00133B0C"/>
    <w:rsid w:val="00160364"/>
    <w:rsid w:val="0017321F"/>
    <w:rsid w:val="0017490C"/>
    <w:rsid w:val="00177B2F"/>
    <w:rsid w:val="00196D1B"/>
    <w:rsid w:val="001A363D"/>
    <w:rsid w:val="001A450C"/>
    <w:rsid w:val="001B0630"/>
    <w:rsid w:val="001B43C4"/>
    <w:rsid w:val="001D3173"/>
    <w:rsid w:val="001D7B94"/>
    <w:rsid w:val="001E082A"/>
    <w:rsid w:val="001E2002"/>
    <w:rsid w:val="001F5C3A"/>
    <w:rsid w:val="001F69E6"/>
    <w:rsid w:val="001F6EA6"/>
    <w:rsid w:val="00204798"/>
    <w:rsid w:val="00213FB6"/>
    <w:rsid w:val="00214722"/>
    <w:rsid w:val="00220CDC"/>
    <w:rsid w:val="00224A75"/>
    <w:rsid w:val="002310DD"/>
    <w:rsid w:val="0024686B"/>
    <w:rsid w:val="00253EBE"/>
    <w:rsid w:val="00266CFB"/>
    <w:rsid w:val="00272F81"/>
    <w:rsid w:val="00280017"/>
    <w:rsid w:val="0029175A"/>
    <w:rsid w:val="0029197A"/>
    <w:rsid w:val="002B0CFE"/>
    <w:rsid w:val="002B3532"/>
    <w:rsid w:val="002D0E65"/>
    <w:rsid w:val="00300F5D"/>
    <w:rsid w:val="00315CB8"/>
    <w:rsid w:val="0031611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6713"/>
    <w:rsid w:val="003F0725"/>
    <w:rsid w:val="004003B6"/>
    <w:rsid w:val="00402E18"/>
    <w:rsid w:val="004114C1"/>
    <w:rsid w:val="00412DD4"/>
    <w:rsid w:val="00416C13"/>
    <w:rsid w:val="0042448C"/>
    <w:rsid w:val="00424BFE"/>
    <w:rsid w:val="00435B90"/>
    <w:rsid w:val="00440925"/>
    <w:rsid w:val="004444A9"/>
    <w:rsid w:val="00456A2A"/>
    <w:rsid w:val="004649B6"/>
    <w:rsid w:val="0047221A"/>
    <w:rsid w:val="00475C58"/>
    <w:rsid w:val="00476651"/>
    <w:rsid w:val="00480E6B"/>
    <w:rsid w:val="00481880"/>
    <w:rsid w:val="00481BF7"/>
    <w:rsid w:val="00484FF3"/>
    <w:rsid w:val="004917F6"/>
    <w:rsid w:val="00496546"/>
    <w:rsid w:val="00497FA5"/>
    <w:rsid w:val="004A5FC7"/>
    <w:rsid w:val="004B62CD"/>
    <w:rsid w:val="004D11E2"/>
    <w:rsid w:val="004D20D7"/>
    <w:rsid w:val="004D73C3"/>
    <w:rsid w:val="004E2EF8"/>
    <w:rsid w:val="004F3F49"/>
    <w:rsid w:val="0051575E"/>
    <w:rsid w:val="0052101E"/>
    <w:rsid w:val="005223E8"/>
    <w:rsid w:val="0052707F"/>
    <w:rsid w:val="00536DE0"/>
    <w:rsid w:val="00551DD9"/>
    <w:rsid w:val="00553A23"/>
    <w:rsid w:val="005615F1"/>
    <w:rsid w:val="00562A65"/>
    <w:rsid w:val="0056720C"/>
    <w:rsid w:val="00571FE5"/>
    <w:rsid w:val="00591085"/>
    <w:rsid w:val="005938E5"/>
    <w:rsid w:val="00597C5D"/>
    <w:rsid w:val="005A4BCA"/>
    <w:rsid w:val="005B21A5"/>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467B3"/>
    <w:rsid w:val="0066430F"/>
    <w:rsid w:val="0066771A"/>
    <w:rsid w:val="00684EBF"/>
    <w:rsid w:val="00697DB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2779"/>
    <w:rsid w:val="007D24C5"/>
    <w:rsid w:val="007D4319"/>
    <w:rsid w:val="007D611A"/>
    <w:rsid w:val="007E0112"/>
    <w:rsid w:val="007E704C"/>
    <w:rsid w:val="007E7C54"/>
    <w:rsid w:val="007F3130"/>
    <w:rsid w:val="0080427E"/>
    <w:rsid w:val="00804F1B"/>
    <w:rsid w:val="00812D56"/>
    <w:rsid w:val="0081363F"/>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25A37"/>
    <w:rsid w:val="00B26A43"/>
    <w:rsid w:val="00B34B10"/>
    <w:rsid w:val="00B35225"/>
    <w:rsid w:val="00B46A15"/>
    <w:rsid w:val="00B46F19"/>
    <w:rsid w:val="00B60A81"/>
    <w:rsid w:val="00B672B5"/>
    <w:rsid w:val="00B70367"/>
    <w:rsid w:val="00B705C6"/>
    <w:rsid w:val="00B77050"/>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620C"/>
    <w:rsid w:val="00D526B5"/>
    <w:rsid w:val="00D627E3"/>
    <w:rsid w:val="00D63C17"/>
    <w:rsid w:val="00D64296"/>
    <w:rsid w:val="00D75376"/>
    <w:rsid w:val="00D76A95"/>
    <w:rsid w:val="00D92232"/>
    <w:rsid w:val="00DA34FD"/>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870A4"/>
    <w:rsid w:val="00E9136C"/>
    <w:rsid w:val="00E92BEC"/>
    <w:rsid w:val="00E933D0"/>
    <w:rsid w:val="00E93DA8"/>
    <w:rsid w:val="00E96C0E"/>
    <w:rsid w:val="00EB2414"/>
    <w:rsid w:val="00EB4212"/>
    <w:rsid w:val="00EC11F0"/>
    <w:rsid w:val="00EC3452"/>
    <w:rsid w:val="00ED6165"/>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6401"/>
    <w:rsid w:val="00FD7E30"/>
    <w:rsid w:val="00FE715C"/>
    <w:rsid w:val="00FF2323"/>
    <w:rsid w:val="00FF3854"/>
    <w:rsid w:val="0FC46445"/>
    <w:rsid w:val="14A2760B"/>
    <w:rsid w:val="2C297626"/>
    <w:rsid w:val="3D4B55D5"/>
    <w:rsid w:val="474566AF"/>
    <w:rsid w:val="4A044865"/>
    <w:rsid w:val="60506055"/>
    <w:rsid w:val="66167439"/>
    <w:rsid w:val="6D255B20"/>
    <w:rsid w:val="6D9F00B1"/>
    <w:rsid w:val="774D6BB6"/>
    <w:rsid w:val="795F71BA"/>
    <w:rsid w:val="7C333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06EC3C"/>
  <w15:docId w15:val="{6D2FC625-1EBD-4C5D-9303-8CCB67D5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kern w:val="0"/>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a6">
    <w:name w:val="页眉 字符"/>
    <w:link w:val="a5"/>
    <w:uiPriority w:val="99"/>
    <w:qFormat/>
    <w:locked/>
    <w:rPr>
      <w:rFonts w:cs="Times New Roman"/>
      <w:sz w:val="18"/>
    </w:rPr>
  </w:style>
  <w:style w:type="character" w:customStyle="1" w:styleId="a4">
    <w:name w:val="页脚 字符"/>
    <w:link w:val="a3"/>
    <w:uiPriority w:val="99"/>
    <w:qFormat/>
    <w:locked/>
    <w:rPr>
      <w:rFonts w:cs="Times New Roman"/>
      <w:sz w:val="18"/>
    </w:rPr>
  </w:style>
  <w:style w:type="paragraph" w:customStyle="1" w:styleId="Default">
    <w:name w:val="Default"/>
    <w:uiPriority w:val="99"/>
    <w:qFormat/>
    <w:pPr>
      <w:widowControl w:val="0"/>
      <w:autoSpaceDE w:val="0"/>
      <w:autoSpaceDN w:val="0"/>
      <w:adjustRightInd w:val="0"/>
    </w:pPr>
    <w:rPr>
      <w:rFonts w:ascii="黑体" w:hAnsi="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523</Words>
  <Characters>2987</Characters>
  <Application>Microsoft Office Word</Application>
  <DocSecurity>0</DocSecurity>
  <Lines>24</Lines>
  <Paragraphs>7</Paragraphs>
  <ScaleCrop>false</ScaleCrop>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47</cp:revision>
  <cp:lastPrinted>2019-01-23T00:54:00Z</cp:lastPrinted>
  <dcterms:created xsi:type="dcterms:W3CDTF">2017-10-31T03:18:00Z</dcterms:created>
  <dcterms:modified xsi:type="dcterms:W3CDTF">2020-12-16T00:51:00Z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