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小标宋_GBK" w:eastAsia="方正小标宋_GBK"/>
          <w:sz w:val="40"/>
        </w:rPr>
      </w:pPr>
    </w:p>
    <w:p>
      <w:pPr>
        <w:rPr>
          <w:rFonts w:hint="eastAsia" w:ascii="方正小标宋_GBK" w:eastAsia="方正小标宋_GBK"/>
          <w:sz w:val="40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w w:val="85"/>
          <w:sz w:val="5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w w:val="85"/>
          <w:sz w:val="56"/>
          <w:lang w:eastAsia="zh-CN"/>
        </w:rPr>
        <w:t>濮阳市华龙区人民代表大会常务委员会</w:t>
      </w:r>
    </w:p>
    <w:p>
      <w:pPr>
        <w:jc w:val="center"/>
        <w:rPr>
          <w:rFonts w:ascii="方正小标宋简体" w:hAnsi="方正小标宋简体" w:eastAsia="方正小标宋简体" w:cs="方正小标宋简体"/>
          <w:spacing w:val="-20"/>
          <w:sz w:val="44"/>
        </w:rPr>
      </w:pPr>
      <w:r>
        <w:rPr>
          <w:rFonts w:hint="eastAsia" w:ascii="方正小标宋简体" w:hAnsi="方正小标宋简体" w:eastAsia="方正小标宋简体" w:cs="方正小标宋简体"/>
          <w:w w:val="85"/>
          <w:sz w:val="56"/>
        </w:rPr>
        <w:t>2020年部门预算公开说明</w:t>
      </w: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hint="eastAsia"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both"/>
        <w:rPr>
          <w:rFonts w:hint="eastAsia" w:ascii="方正小标宋_GBK" w:eastAsia="方正小标宋_GBK"/>
          <w:sz w:val="40"/>
        </w:rPr>
      </w:pPr>
    </w:p>
    <w:p>
      <w:pPr>
        <w:jc w:val="center"/>
        <w:rPr>
          <w:rFonts w:ascii="楷体_GB2312" w:eastAsia="楷体_GB2312"/>
          <w:b/>
          <w:w w:val="90"/>
          <w:sz w:val="40"/>
        </w:rPr>
      </w:pPr>
      <w:r>
        <w:rPr>
          <w:rFonts w:hint="eastAsia" w:ascii="楷体_GB2312" w:eastAsia="楷体_GB2312"/>
          <w:b/>
          <w:w w:val="90"/>
          <w:sz w:val="40"/>
        </w:rPr>
        <w:t>二</w:t>
      </w:r>
      <w:r>
        <w:rPr>
          <w:rFonts w:hint="eastAsia" w:ascii="宋体" w:hAnsi="宋体" w:cs="宋体"/>
          <w:b/>
          <w:w w:val="90"/>
          <w:sz w:val="40"/>
        </w:rPr>
        <w:t>〇</w:t>
      </w:r>
      <w:r>
        <w:rPr>
          <w:rFonts w:hint="eastAsia" w:ascii="楷体_GB2312" w:eastAsia="楷体_GB2312"/>
          <w:b/>
          <w:w w:val="90"/>
          <w:sz w:val="40"/>
        </w:rPr>
        <w:t>二</w:t>
      </w:r>
      <w:r>
        <w:rPr>
          <w:rFonts w:hint="eastAsia" w:ascii="宋体" w:hAnsi="宋体" w:cs="宋体"/>
          <w:b/>
          <w:w w:val="90"/>
          <w:sz w:val="40"/>
        </w:rPr>
        <w:t>〇</w:t>
      </w:r>
      <w:r>
        <w:rPr>
          <w:rFonts w:hint="eastAsia" w:ascii="楷体_GB2312" w:hAnsi="楷体_GB2312" w:eastAsia="楷体_GB2312" w:cs="楷体_GB2312"/>
          <w:b/>
          <w:w w:val="90"/>
          <w:sz w:val="40"/>
        </w:rPr>
        <w:t>年六月</w:t>
      </w:r>
    </w:p>
    <w:p>
      <w:pPr>
        <w:widowControl/>
        <w:jc w:val="left"/>
        <w:rPr>
          <w:rFonts w:ascii="黑体" w:hAnsi="黑体" w:eastAsia="黑体" w:cs="宋体"/>
          <w:color w:val="000000"/>
          <w:kern w:val="0"/>
          <w:sz w:val="44"/>
          <w:szCs w:val="32"/>
        </w:rPr>
      </w:pPr>
      <w:r>
        <w:rPr>
          <w:rFonts w:ascii="黑体" w:hAnsi="黑体" w:eastAsia="黑体"/>
          <w:color w:val="000000"/>
          <w:sz w:val="44"/>
          <w:szCs w:val="32"/>
        </w:rPr>
        <w:br w:type="page"/>
      </w:r>
    </w:p>
    <w:p>
      <w:pPr>
        <w:pStyle w:val="6"/>
        <w:topLinePunct/>
        <w:spacing w:before="0" w:beforeAutospacing="0" w:after="0" w:afterAutospacing="0" w:line="360" w:lineRule="auto"/>
        <w:ind w:firstLine="880"/>
        <w:jc w:val="center"/>
        <w:rPr>
          <w:rFonts w:ascii="黑体" w:hAnsi="黑体" w:eastAsia="黑体"/>
          <w:color w:val="000000"/>
          <w:sz w:val="44"/>
          <w:szCs w:val="32"/>
        </w:rPr>
      </w:pP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黑体" w:hAnsi="黑体" w:eastAsia="黑体"/>
          <w:color w:val="000000"/>
          <w:sz w:val="44"/>
          <w:szCs w:val="32"/>
        </w:rPr>
      </w:pPr>
      <w:r>
        <w:rPr>
          <w:rFonts w:hint="eastAsia" w:ascii="黑体" w:hAnsi="黑体" w:eastAsia="黑体"/>
          <w:color w:val="000000"/>
          <w:sz w:val="44"/>
          <w:szCs w:val="32"/>
        </w:rPr>
        <w:t>目 录</w:t>
      </w:r>
    </w:p>
    <w:p>
      <w:pPr>
        <w:pStyle w:val="6"/>
        <w:topLinePunct/>
        <w:spacing w:before="0" w:beforeAutospacing="0" w:after="0" w:afterAutospacing="0" w:line="360" w:lineRule="auto"/>
        <w:ind w:firstLine="720"/>
        <w:jc w:val="center"/>
        <w:rPr>
          <w:rFonts w:ascii="黑体" w:hAnsi="黑体" w:eastAsia="黑体"/>
          <w:color w:val="000000"/>
          <w:sz w:val="36"/>
          <w:szCs w:val="32"/>
        </w:rPr>
      </w:pP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color w:val="000000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第一部分</w:t>
      </w:r>
      <w:r>
        <w:rPr>
          <w:rFonts w:hint="eastAsia"/>
          <w:color w:val="000000"/>
          <w:sz w:val="32"/>
          <w:szCs w:val="32"/>
        </w:rPr>
        <w:t xml:space="preserve"> </w:t>
      </w:r>
      <w:r>
        <w:rPr>
          <w:rFonts w:hint="eastAsia" w:ascii="黑体" w:hAnsi="黑体" w:eastAsia="黑体"/>
          <w:color w:val="000000"/>
          <w:sz w:val="32"/>
          <w:szCs w:val="32"/>
        </w:rPr>
        <w:t>部门概况</w:t>
      </w:r>
      <w:r>
        <w:rPr>
          <w:rFonts w:hint="eastAsia"/>
          <w:color w:val="000000"/>
          <w:sz w:val="32"/>
          <w:szCs w:val="32"/>
        </w:rPr>
        <w:t> 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一、部门主要职责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二、机构设置情况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第二部分 2020年部门预算情况说明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第三部分 名词解释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hAnsi="黑体" w:eastAsia="黑体"/>
          <w:color w:val="000000"/>
          <w:sz w:val="32"/>
          <w:szCs w:val="32"/>
        </w:rPr>
      </w:pP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color w:val="000000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附件：</w:t>
      </w:r>
      <w:r>
        <w:rPr>
          <w:rFonts w:hint="eastAsia" w:ascii="黑体" w:hAnsi="黑体" w:eastAsia="黑体"/>
          <w:color w:val="000000"/>
          <w:sz w:val="32"/>
          <w:szCs w:val="32"/>
          <w:lang w:eastAsia="zh-CN"/>
        </w:rPr>
        <w:t>濮阳市华龙区人民代表大会常务委员会</w:t>
      </w:r>
      <w:r>
        <w:rPr>
          <w:rFonts w:hint="eastAsia" w:ascii="黑体" w:hAnsi="黑体" w:eastAsia="黑体"/>
          <w:color w:val="000000"/>
          <w:sz w:val="32"/>
          <w:szCs w:val="32"/>
        </w:rPr>
        <w:t>2020年部门预算表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一、部门收支总表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二、部门收入总表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三、部门支出总表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四、财政拨款收支总表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五、一般公共预算支出表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六、一般公共预算基本支出表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七、一般公共预算“三公”经费支出表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八、政府性基金预算支出表</w:t>
      </w: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rPr>
          <w:rFonts w:ascii="黑体" w:hAnsi="黑体" w:eastAsia="黑体"/>
          <w:szCs w:val="32"/>
        </w:rPr>
      </w:pPr>
      <w:r>
        <w:rPr>
          <w:rFonts w:ascii="黑体" w:hAnsi="黑体" w:eastAsia="黑体"/>
          <w:szCs w:val="32"/>
        </w:rPr>
        <w:br w:type="page"/>
      </w: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第一部分</w:t>
      </w: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部门概况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ascii="黑体" w:hAnsi="黑体" w:eastAsia="黑体"/>
          <w:szCs w:val="32"/>
        </w:rPr>
        <w:t> 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一、部门主要职责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（一）</w:t>
      </w:r>
      <w:r>
        <w:rPr>
          <w:rFonts w:hint="eastAsia" w:ascii="仿宋_GB2312" w:hAnsi="仿宋_GB2312" w:eastAsia="仿宋_GB2312" w:cs="仿宋_GB2312"/>
          <w:sz w:val="32"/>
          <w:szCs w:val="32"/>
        </w:rPr>
        <w:t>在本行政区域内，保证宪法、法律、行政法规和上级人民代表大会及其常务委员会决议的遵守和执行；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（二）</w:t>
      </w:r>
      <w:r>
        <w:rPr>
          <w:rFonts w:hint="eastAsia" w:ascii="仿宋_GB2312" w:hAnsi="仿宋_GB2312" w:eastAsia="仿宋_GB2312" w:cs="仿宋_GB2312"/>
          <w:sz w:val="32"/>
          <w:szCs w:val="32"/>
        </w:rPr>
        <w:t>领导或者主持本级人民代表大会代表的选举</w:t>
      </w:r>
      <w:r>
        <w:rPr>
          <w:rFonts w:hint="eastAsia" w:ascii="仿宋" w:hAnsi="仿宋" w:eastAsia="仿宋" w:cs="宋体"/>
          <w:sz w:val="32"/>
          <w:szCs w:val="32"/>
        </w:rPr>
        <w:t>；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（三）</w:t>
      </w:r>
      <w:r>
        <w:rPr>
          <w:rFonts w:hint="eastAsia" w:ascii="仿宋_GB2312" w:hAnsi="仿宋_GB2312" w:eastAsia="仿宋_GB2312" w:cs="仿宋_GB2312"/>
          <w:sz w:val="32"/>
          <w:szCs w:val="32"/>
        </w:rPr>
        <w:t>召集本级人民代表大会会议；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（四）讨论、决定本行政区域内的政治、经济、教育、科学、文化、卫生、环境和资源保护、民主、民族等工作的重大事项；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（五）根据本级人民政府的建议，决定对本行政区域内的国民经济和社会发展计划、预算的部分变更；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（六）监督本级人民政府、人民法院和人民检察院的工作，联系本级人民代表大会代表，受理人民群众对上述机关和国家工作人员的申诉和意见；</w:t>
      </w:r>
    </w:p>
    <w:p>
      <w:pPr>
        <w:widowControl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（七）撤销本级人民政府的不适当的决定和命令；</w:t>
      </w:r>
    </w:p>
    <w:p>
      <w:pPr>
        <w:widowControl/>
        <w:ind w:firstLine="640" w:firstLineChars="200"/>
        <w:jc w:val="left"/>
        <w:rPr>
          <w:rFonts w:ascii="仿宋" w:hAnsi="仿宋" w:eastAsia="仿宋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（八）在本级人民代表大会闭会期间，补选上一级人民代表大会出缺的代表和罢免个别代表。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二、机构设置情况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Cs w:val="32"/>
        </w:rPr>
        <w:t>根据工作职责及实际工作需要，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华龙区人大常委会内设一办（办公室）六委（选工委、法工委、财工委、教工委、农工委、环城工委）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ind w:firstLine="640" w:firstLineChars="200"/>
        <w:rPr>
          <w:rFonts w:ascii="仿宋" w:hAnsi="仿宋" w:eastAsia="仿宋"/>
          <w:color w:val="FF0000"/>
          <w:szCs w:val="32"/>
        </w:rPr>
      </w:pPr>
      <w:r>
        <w:rPr>
          <w:rFonts w:hint="eastAsia" w:ascii="仿宋" w:hAnsi="仿宋" w:eastAsia="仿宋"/>
          <w:szCs w:val="32"/>
        </w:rPr>
        <w:t>本部门无独立核算的下属预算单位，部门本级预算即汇总预算。</w:t>
      </w:r>
    </w:p>
    <w:p>
      <w:pPr>
        <w:ind w:firstLine="640" w:firstLineChars="200"/>
        <w:rPr>
          <w:rFonts w:ascii="仿宋" w:hAnsi="仿宋" w:eastAsia="仿宋"/>
          <w:szCs w:val="32"/>
        </w:rPr>
      </w:pP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第二部分</w:t>
      </w: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2020年部门预算情况说明</w:t>
      </w:r>
    </w:p>
    <w:p>
      <w:pPr>
        <w:ind w:firstLine="640" w:firstLineChars="200"/>
        <w:rPr>
          <w:rFonts w:ascii="华文仿宋" w:hAnsi="华文仿宋" w:eastAsia="华文仿宋"/>
          <w:szCs w:val="32"/>
        </w:rPr>
      </w:pP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一、本级预算和所属单位预算在内的汇总预算总体情况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本部门无独立核算的下属预算单位，部门本级预算即汇总预算。</w:t>
      </w: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</w:rPr>
        <w:t>20年本部门预算收入总计</w:t>
      </w:r>
      <w:r>
        <w:rPr>
          <w:rFonts w:hint="eastAsia" w:ascii="仿宋" w:hAnsi="仿宋" w:eastAsia="仿宋"/>
          <w:szCs w:val="32"/>
          <w:lang w:val="en-US" w:eastAsia="zh-CN"/>
        </w:rPr>
        <w:t>623.62</w:t>
      </w:r>
      <w:r>
        <w:rPr>
          <w:rFonts w:hint="eastAsia" w:ascii="仿宋" w:hAnsi="仿宋" w:eastAsia="仿宋"/>
          <w:szCs w:val="32"/>
        </w:rPr>
        <w:t>万元，支出总计</w:t>
      </w:r>
      <w:r>
        <w:rPr>
          <w:rFonts w:hint="eastAsia" w:ascii="仿宋" w:hAnsi="仿宋" w:eastAsia="仿宋"/>
          <w:szCs w:val="32"/>
          <w:lang w:val="en-US" w:eastAsia="zh-CN"/>
        </w:rPr>
        <w:t>623.62</w:t>
      </w:r>
      <w:r>
        <w:rPr>
          <w:rFonts w:hint="eastAsia" w:ascii="仿宋" w:hAnsi="仿宋" w:eastAsia="仿宋"/>
          <w:szCs w:val="32"/>
        </w:rPr>
        <w:t>万元。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二、部门预算收支增减变动情况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</w:rPr>
        <w:t>20年本部门预算收入总计</w:t>
      </w:r>
      <w:r>
        <w:rPr>
          <w:rFonts w:hint="eastAsia" w:ascii="仿宋" w:hAnsi="仿宋" w:eastAsia="仿宋"/>
          <w:szCs w:val="32"/>
          <w:lang w:val="en-US" w:eastAsia="zh-CN"/>
        </w:rPr>
        <w:t>623.62</w:t>
      </w:r>
      <w:r>
        <w:rPr>
          <w:rFonts w:hint="eastAsia" w:ascii="仿宋" w:hAnsi="仿宋" w:eastAsia="仿宋"/>
          <w:szCs w:val="32"/>
        </w:rPr>
        <w:t>万元，支出总计</w:t>
      </w:r>
      <w:r>
        <w:rPr>
          <w:rFonts w:hint="eastAsia" w:ascii="仿宋" w:hAnsi="仿宋" w:eastAsia="仿宋"/>
          <w:szCs w:val="32"/>
          <w:lang w:val="en-US" w:eastAsia="zh-CN"/>
        </w:rPr>
        <w:t>623.62</w:t>
      </w:r>
      <w:r>
        <w:rPr>
          <w:rFonts w:hint="eastAsia" w:ascii="仿宋" w:hAnsi="仿宋" w:eastAsia="仿宋"/>
          <w:szCs w:val="32"/>
        </w:rPr>
        <w:t>万元。其中：基本支出</w:t>
      </w:r>
      <w:r>
        <w:rPr>
          <w:rFonts w:hint="eastAsia" w:ascii="仿宋" w:hAnsi="仿宋" w:eastAsia="仿宋"/>
          <w:szCs w:val="32"/>
          <w:lang w:val="en-US" w:eastAsia="zh-CN"/>
        </w:rPr>
        <w:t>412.82</w:t>
      </w:r>
      <w:r>
        <w:rPr>
          <w:rFonts w:hint="eastAsia" w:ascii="仿宋" w:hAnsi="仿宋" w:eastAsia="仿宋"/>
          <w:szCs w:val="32"/>
        </w:rPr>
        <w:t>万元，占比</w:t>
      </w:r>
      <w:r>
        <w:rPr>
          <w:rFonts w:hint="eastAsia" w:ascii="仿宋" w:hAnsi="仿宋" w:eastAsia="仿宋"/>
          <w:szCs w:val="32"/>
          <w:lang w:val="en-US" w:eastAsia="zh-CN"/>
        </w:rPr>
        <w:t>66</w:t>
      </w:r>
      <w:r>
        <w:rPr>
          <w:rFonts w:hint="eastAsia" w:ascii="仿宋" w:hAnsi="仿宋" w:eastAsia="仿宋"/>
          <w:szCs w:val="32"/>
        </w:rPr>
        <w:t>%，项目支出</w:t>
      </w:r>
      <w:r>
        <w:rPr>
          <w:rFonts w:hint="eastAsia" w:ascii="仿宋" w:hAnsi="仿宋" w:eastAsia="仿宋"/>
          <w:szCs w:val="32"/>
          <w:lang w:val="en-US" w:eastAsia="zh-CN"/>
        </w:rPr>
        <w:t>210.8</w:t>
      </w:r>
      <w:r>
        <w:rPr>
          <w:rFonts w:hint="eastAsia" w:ascii="仿宋" w:hAnsi="仿宋" w:eastAsia="仿宋"/>
          <w:szCs w:val="32"/>
        </w:rPr>
        <w:t>万元，占比</w:t>
      </w:r>
      <w:r>
        <w:rPr>
          <w:rFonts w:hint="eastAsia" w:ascii="仿宋" w:hAnsi="仿宋" w:eastAsia="仿宋"/>
          <w:szCs w:val="32"/>
          <w:lang w:val="en-US" w:eastAsia="zh-CN"/>
        </w:rPr>
        <w:t>34</w:t>
      </w:r>
      <w:r>
        <w:rPr>
          <w:rFonts w:hint="eastAsia" w:ascii="仿宋" w:hAnsi="仿宋" w:eastAsia="仿宋"/>
          <w:szCs w:val="32"/>
        </w:rPr>
        <w:t>%。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2020年本部门预算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收入和支出均</w:t>
      </w:r>
      <w:r>
        <w:rPr>
          <w:rFonts w:hint="eastAsia" w:ascii="仿宋" w:hAnsi="仿宋" w:eastAsia="仿宋"/>
          <w:szCs w:val="32"/>
        </w:rPr>
        <w:t>较上年增加</w:t>
      </w:r>
      <w:r>
        <w:rPr>
          <w:rFonts w:hint="eastAsia" w:ascii="仿宋" w:hAnsi="仿宋" w:eastAsia="仿宋"/>
          <w:szCs w:val="32"/>
          <w:lang w:val="en-US" w:eastAsia="zh-CN"/>
        </w:rPr>
        <w:t>66.86</w:t>
      </w:r>
      <w:r>
        <w:rPr>
          <w:rFonts w:hint="eastAsia" w:ascii="仿宋" w:hAnsi="仿宋" w:eastAsia="仿宋"/>
          <w:szCs w:val="32"/>
        </w:rPr>
        <w:t>万元，增长</w:t>
      </w:r>
      <w:r>
        <w:rPr>
          <w:rFonts w:hint="eastAsia" w:ascii="仿宋" w:hAnsi="仿宋" w:eastAsia="仿宋"/>
          <w:szCs w:val="32"/>
          <w:lang w:val="en-US" w:eastAsia="zh-CN"/>
        </w:rPr>
        <w:t>10.7</w:t>
      </w:r>
      <w:r>
        <w:rPr>
          <w:rFonts w:ascii="仿宋" w:hAnsi="仿宋" w:eastAsia="仿宋"/>
          <w:szCs w:val="32"/>
        </w:rPr>
        <w:t>%</w:t>
      </w:r>
      <w:r>
        <w:rPr>
          <w:rFonts w:hint="eastAsia" w:ascii="仿宋" w:hAnsi="仿宋" w:eastAsia="仿宋"/>
          <w:szCs w:val="32"/>
        </w:rPr>
        <w:t>，主要原因</w:t>
      </w:r>
      <w:r>
        <w:rPr>
          <w:rFonts w:hint="eastAsia" w:ascii="仿宋" w:hAnsi="仿宋" w:eastAsia="仿宋"/>
          <w:szCs w:val="32"/>
          <w:lang w:eastAsia="zh-CN"/>
        </w:rPr>
        <w:t>是人员增多，工资和各项保险费用增加</w:t>
      </w:r>
      <w:r>
        <w:rPr>
          <w:rFonts w:hint="eastAsia" w:ascii="仿宋" w:hAnsi="仿宋" w:eastAsia="仿宋"/>
          <w:szCs w:val="32"/>
        </w:rPr>
        <w:t>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三、一般公共预算基本支出情况</w:t>
      </w:r>
    </w:p>
    <w:p>
      <w:pPr>
        <w:ind w:firstLine="640" w:firstLineChars="200"/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szCs w:val="32"/>
        </w:rPr>
        <w:t>2020年本部门一般公共预算基本支出</w:t>
      </w:r>
      <w:r>
        <w:rPr>
          <w:rFonts w:hint="eastAsia" w:ascii="仿宋" w:hAnsi="仿宋" w:eastAsia="仿宋"/>
          <w:szCs w:val="32"/>
          <w:lang w:val="en-US" w:eastAsia="zh-CN"/>
        </w:rPr>
        <w:t>412.82</w:t>
      </w:r>
      <w:r>
        <w:rPr>
          <w:rFonts w:hint="eastAsia" w:ascii="仿宋" w:hAnsi="仿宋" w:eastAsia="仿宋"/>
          <w:szCs w:val="32"/>
        </w:rPr>
        <w:t>万元，其中：人员经费</w:t>
      </w:r>
      <w:r>
        <w:rPr>
          <w:rFonts w:hint="eastAsia" w:ascii="仿宋" w:hAnsi="仿宋" w:eastAsia="仿宋"/>
          <w:szCs w:val="32"/>
          <w:lang w:val="en-US" w:eastAsia="zh-CN"/>
        </w:rPr>
        <w:t>354.62</w:t>
      </w:r>
      <w:r>
        <w:rPr>
          <w:rFonts w:hint="eastAsia" w:ascii="仿宋" w:hAnsi="仿宋" w:eastAsia="仿宋"/>
          <w:szCs w:val="32"/>
        </w:rPr>
        <w:t>万元，主要包括：基本工资、津贴补贴、绩效工资、机关事业单位基本养老保险缴费、医疗保险缴费、其他社会保障缴费、住房公积金、退休费；公用经费</w:t>
      </w:r>
      <w:r>
        <w:rPr>
          <w:rFonts w:hint="eastAsia" w:ascii="仿宋" w:hAnsi="仿宋" w:eastAsia="仿宋"/>
          <w:szCs w:val="32"/>
          <w:lang w:val="en-US" w:eastAsia="zh-CN"/>
        </w:rPr>
        <w:t>58.2</w:t>
      </w:r>
      <w:r>
        <w:rPr>
          <w:rFonts w:hint="eastAsia" w:ascii="仿宋" w:hAnsi="仿宋" w:eastAsia="仿宋"/>
          <w:szCs w:val="32"/>
        </w:rPr>
        <w:t>万元，主要包括：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办公费、维修（护）费</w:t>
      </w:r>
      <w:r>
        <w:rPr>
          <w:rFonts w:hint="eastAsia" w:ascii="仿宋" w:hAnsi="仿宋" w:eastAsia="仿宋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培训费、公务用车运行维护费、其他商品和服务支出</w:t>
      </w:r>
      <w:r>
        <w:rPr>
          <w:rFonts w:hint="eastAsia" w:ascii="仿宋" w:hAnsi="仿宋" w:eastAsia="仿宋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等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四、机关运行经费安排情况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</w:rPr>
        <w:t>20年本部门机关运行经费安排</w:t>
      </w:r>
      <w:r>
        <w:rPr>
          <w:rFonts w:hint="eastAsia" w:ascii="仿宋" w:hAnsi="仿宋" w:eastAsia="仿宋"/>
          <w:szCs w:val="32"/>
          <w:lang w:val="en-US" w:eastAsia="zh-CN"/>
        </w:rPr>
        <w:t>58.2</w:t>
      </w:r>
      <w:r>
        <w:rPr>
          <w:rFonts w:hint="eastAsia" w:ascii="仿宋" w:hAnsi="仿宋" w:eastAsia="仿宋"/>
          <w:szCs w:val="32"/>
        </w:rPr>
        <w:t>万元，主要用于保障机关机构正常运转及正常履职需要的办公费、</w:t>
      </w:r>
      <w:r>
        <w:rPr>
          <w:rFonts w:hint="eastAsia" w:ascii="仿宋" w:hAnsi="仿宋" w:eastAsia="仿宋"/>
          <w:szCs w:val="32"/>
          <w:lang w:eastAsia="zh-CN"/>
        </w:rPr>
        <w:t>维修（护）费、培训费、公务用车运行维护费、其他商品服务支出等</w:t>
      </w:r>
      <w:r>
        <w:rPr>
          <w:rFonts w:hint="eastAsia" w:ascii="仿宋" w:hAnsi="仿宋" w:eastAsia="仿宋"/>
          <w:szCs w:val="32"/>
          <w:lang w:val="en-US" w:eastAsia="zh-CN"/>
        </w:rPr>
        <w:t>方面</w:t>
      </w:r>
      <w:r>
        <w:rPr>
          <w:rFonts w:hint="eastAsia" w:ascii="仿宋" w:hAnsi="仿宋" w:eastAsia="仿宋"/>
          <w:szCs w:val="32"/>
          <w:lang w:eastAsia="zh-CN"/>
        </w:rPr>
        <w:t>，</w:t>
      </w:r>
      <w:r>
        <w:rPr>
          <w:rFonts w:hint="eastAsia" w:ascii="仿宋" w:hAnsi="仿宋" w:eastAsia="仿宋"/>
          <w:szCs w:val="32"/>
        </w:rPr>
        <w:t>比上年</w:t>
      </w:r>
      <w:r>
        <w:rPr>
          <w:rFonts w:hint="eastAsia" w:ascii="仿宋" w:hAnsi="仿宋" w:eastAsia="仿宋"/>
          <w:szCs w:val="32"/>
          <w:lang w:eastAsia="zh-CN"/>
        </w:rPr>
        <w:t>增加</w:t>
      </w:r>
      <w:r>
        <w:rPr>
          <w:rFonts w:hint="eastAsia" w:ascii="仿宋" w:hAnsi="仿宋" w:eastAsia="仿宋"/>
          <w:szCs w:val="32"/>
          <w:lang w:val="en-US" w:eastAsia="zh-CN"/>
        </w:rPr>
        <w:t>3</w:t>
      </w:r>
      <w:r>
        <w:rPr>
          <w:rFonts w:hint="eastAsia" w:ascii="仿宋" w:hAnsi="仿宋" w:eastAsia="仿宋"/>
          <w:szCs w:val="32"/>
        </w:rPr>
        <w:t>万元，</w:t>
      </w:r>
      <w:r>
        <w:rPr>
          <w:rFonts w:hint="eastAsia" w:ascii="仿宋" w:hAnsi="仿宋" w:eastAsia="仿宋"/>
          <w:szCs w:val="32"/>
          <w:lang w:eastAsia="zh-CN"/>
        </w:rPr>
        <w:t>增加</w:t>
      </w:r>
      <w:r>
        <w:rPr>
          <w:rFonts w:hint="eastAsia" w:ascii="仿宋" w:hAnsi="仿宋" w:eastAsia="仿宋"/>
          <w:szCs w:val="32"/>
          <w:lang w:val="en-US" w:eastAsia="zh-CN"/>
        </w:rPr>
        <w:t>5.15</w:t>
      </w:r>
      <w:r>
        <w:rPr>
          <w:rFonts w:hint="eastAsia" w:ascii="仿宋" w:hAnsi="仿宋" w:eastAsia="仿宋"/>
          <w:szCs w:val="32"/>
        </w:rPr>
        <w:t>%，主要原因</w:t>
      </w:r>
      <w:r>
        <w:rPr>
          <w:rFonts w:hint="eastAsia" w:ascii="仿宋" w:hAnsi="仿宋" w:eastAsia="仿宋"/>
          <w:szCs w:val="32"/>
          <w:lang w:eastAsia="zh-CN"/>
        </w:rPr>
        <w:t>是在职人员较上年增加，各项费用支出随之增加</w:t>
      </w:r>
      <w:r>
        <w:rPr>
          <w:rFonts w:hint="eastAsia" w:ascii="仿宋" w:hAnsi="仿宋" w:eastAsia="仿宋"/>
          <w:szCs w:val="32"/>
        </w:rPr>
        <w:t>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五、“三公”经费安排情况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</w:rPr>
        <w:t>20年本部门“三公”经费预算</w:t>
      </w:r>
      <w:r>
        <w:rPr>
          <w:rFonts w:hint="eastAsia" w:ascii="仿宋" w:hAnsi="仿宋" w:eastAsia="仿宋"/>
          <w:szCs w:val="32"/>
          <w:lang w:val="en-US" w:eastAsia="zh-CN"/>
        </w:rPr>
        <w:t>13</w:t>
      </w:r>
      <w:r>
        <w:rPr>
          <w:rFonts w:hint="eastAsia" w:ascii="仿宋" w:hAnsi="仿宋" w:eastAsia="仿宋"/>
          <w:szCs w:val="32"/>
        </w:rPr>
        <w:t>万元，较上年减少</w:t>
      </w:r>
      <w:r>
        <w:rPr>
          <w:rFonts w:hint="eastAsia" w:ascii="仿宋" w:hAnsi="仿宋" w:eastAsia="仿宋"/>
          <w:szCs w:val="32"/>
          <w:lang w:val="en-US" w:eastAsia="zh-CN"/>
        </w:rPr>
        <w:t>2</w:t>
      </w:r>
      <w:r>
        <w:rPr>
          <w:rFonts w:hint="eastAsia" w:ascii="仿宋" w:hAnsi="仿宋" w:eastAsia="仿宋"/>
          <w:szCs w:val="32"/>
        </w:rPr>
        <w:t>万元，主要原因是</w:t>
      </w:r>
      <w:r>
        <w:rPr>
          <w:rFonts w:hint="eastAsia" w:ascii="仿宋" w:hAnsi="仿宋" w:eastAsia="仿宋"/>
          <w:sz w:val="32"/>
          <w:szCs w:val="32"/>
        </w:rPr>
        <w:t>由于公车改革后，公车运行数量减少，运行维护成本降低，以及严格执行相关规定，厉行勤俭节约，压减“三公”经费。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1.因公出国（境）费</w:t>
      </w:r>
      <w:r>
        <w:rPr>
          <w:rFonts w:hint="eastAsia" w:ascii="仿宋" w:hAnsi="仿宋" w:eastAsia="仿宋"/>
          <w:szCs w:val="32"/>
          <w:lang w:val="en-US" w:eastAsia="zh-CN"/>
        </w:rPr>
        <w:t>0</w:t>
      </w:r>
      <w:r>
        <w:rPr>
          <w:rFonts w:hint="eastAsia" w:ascii="仿宋" w:hAnsi="仿宋" w:eastAsia="仿宋"/>
          <w:szCs w:val="32"/>
        </w:rPr>
        <w:t>万元；</w:t>
      </w:r>
      <w:r>
        <w:rPr>
          <w:rFonts w:ascii="仿宋" w:hAnsi="仿宋" w:eastAsia="仿宋"/>
          <w:szCs w:val="32"/>
        </w:rPr>
        <w:t xml:space="preserve"> 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2.公务用车购置及运行费</w:t>
      </w:r>
      <w:r>
        <w:rPr>
          <w:rFonts w:hint="eastAsia" w:ascii="仿宋" w:hAnsi="仿宋" w:eastAsia="仿宋"/>
          <w:szCs w:val="32"/>
          <w:lang w:val="en-US" w:eastAsia="zh-CN"/>
        </w:rPr>
        <w:t>13</w:t>
      </w:r>
      <w:r>
        <w:rPr>
          <w:rFonts w:hint="eastAsia" w:ascii="仿宋" w:hAnsi="仿宋" w:eastAsia="仿宋"/>
          <w:szCs w:val="32"/>
        </w:rPr>
        <w:t>万元，其中：公务用车购置</w:t>
      </w:r>
      <w:r>
        <w:rPr>
          <w:rFonts w:hint="eastAsia" w:ascii="仿宋" w:hAnsi="仿宋" w:eastAsia="仿宋"/>
          <w:szCs w:val="32"/>
          <w:lang w:val="en-US" w:eastAsia="zh-CN"/>
        </w:rPr>
        <w:t>0</w:t>
      </w:r>
      <w:r>
        <w:rPr>
          <w:rFonts w:hint="eastAsia" w:ascii="仿宋" w:hAnsi="仿宋" w:eastAsia="仿宋"/>
          <w:szCs w:val="32"/>
        </w:rPr>
        <w:t>万元，公务用车运行费</w:t>
      </w:r>
      <w:r>
        <w:rPr>
          <w:rFonts w:hint="eastAsia" w:ascii="仿宋" w:hAnsi="仿宋" w:eastAsia="仿宋"/>
          <w:szCs w:val="32"/>
          <w:lang w:val="en-US" w:eastAsia="zh-CN"/>
        </w:rPr>
        <w:t>13</w:t>
      </w:r>
      <w:r>
        <w:rPr>
          <w:rFonts w:hint="eastAsia" w:ascii="仿宋" w:hAnsi="仿宋" w:eastAsia="仿宋"/>
          <w:szCs w:val="32"/>
        </w:rPr>
        <w:t>万元。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3.公务接待费</w:t>
      </w:r>
      <w:r>
        <w:rPr>
          <w:rFonts w:hint="eastAsia" w:ascii="仿宋" w:hAnsi="仿宋" w:eastAsia="仿宋"/>
          <w:szCs w:val="32"/>
          <w:lang w:val="en-US" w:eastAsia="zh-CN"/>
        </w:rPr>
        <w:t>0</w:t>
      </w:r>
      <w:r>
        <w:rPr>
          <w:rFonts w:hint="eastAsia" w:ascii="仿宋" w:hAnsi="仿宋" w:eastAsia="仿宋"/>
          <w:szCs w:val="32"/>
        </w:rPr>
        <w:t>万元。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黑体" w:hAnsi="黑体" w:eastAsia="黑体"/>
          <w:szCs w:val="32"/>
        </w:rPr>
        <w:t>六、政府采购安排情况</w:t>
      </w:r>
    </w:p>
    <w:p>
      <w:pPr>
        <w:ind w:firstLine="640" w:firstLineChars="200"/>
        <w:rPr>
          <w:rFonts w:ascii="仿宋" w:hAnsi="仿宋" w:eastAsia="仿宋"/>
          <w:color w:val="FF0000"/>
          <w:szCs w:val="32"/>
        </w:rPr>
      </w:pP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  <w:lang w:val="en-US" w:eastAsia="zh-CN"/>
        </w:rPr>
        <w:t>20</w:t>
      </w:r>
      <w:r>
        <w:rPr>
          <w:rFonts w:hint="eastAsia" w:ascii="仿宋" w:hAnsi="仿宋" w:eastAsia="仿宋"/>
          <w:szCs w:val="32"/>
        </w:rPr>
        <w:t>年本部门无政府采购预算安排。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七、政府性基金预算安排情况</w:t>
      </w:r>
    </w:p>
    <w:p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本部门无政府性基金预算收支安排，较上年无变动。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八、</w:t>
      </w:r>
      <w:r>
        <w:rPr>
          <w:rFonts w:ascii="黑体" w:hAnsi="黑体" w:eastAsia="黑体"/>
          <w:szCs w:val="32"/>
        </w:rPr>
        <w:t>国有资产占用情况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ascii="仿宋" w:hAnsi="仿宋" w:eastAsia="仿宋"/>
          <w:szCs w:val="32"/>
        </w:rPr>
        <w:t>截止201</w:t>
      </w:r>
      <w:r>
        <w:rPr>
          <w:rFonts w:hint="eastAsia" w:ascii="仿宋" w:hAnsi="仿宋" w:eastAsia="仿宋"/>
          <w:szCs w:val="32"/>
        </w:rPr>
        <w:t>9年末，本部门共有：房屋建筑物</w:t>
      </w:r>
      <w:r>
        <w:rPr>
          <w:rFonts w:hint="eastAsia" w:ascii="仿宋" w:hAnsi="仿宋" w:eastAsia="仿宋"/>
          <w:szCs w:val="32"/>
          <w:lang w:val="en-US" w:eastAsia="zh-CN"/>
        </w:rPr>
        <w:t>0</w:t>
      </w:r>
      <w:r>
        <w:rPr>
          <w:rFonts w:hint="eastAsia" w:ascii="仿宋" w:hAnsi="仿宋" w:eastAsia="仿宋"/>
          <w:szCs w:val="32"/>
        </w:rPr>
        <w:t>（平方、间）；车辆</w:t>
      </w:r>
      <w:r>
        <w:rPr>
          <w:rFonts w:hint="eastAsia" w:ascii="仿宋" w:hAnsi="仿宋" w:eastAsia="仿宋"/>
          <w:szCs w:val="32"/>
          <w:lang w:val="en-US" w:eastAsia="zh-CN"/>
        </w:rPr>
        <w:t>3</w:t>
      </w:r>
      <w:r>
        <w:rPr>
          <w:rFonts w:hint="eastAsia" w:ascii="仿宋" w:hAnsi="仿宋" w:eastAsia="仿宋"/>
          <w:szCs w:val="32"/>
        </w:rPr>
        <w:t>辆，其中：</w:t>
      </w:r>
      <w:bookmarkStart w:id="0" w:name="_GoBack"/>
      <w:bookmarkEnd w:id="0"/>
      <w:r>
        <w:rPr>
          <w:rFonts w:hint="eastAsia" w:ascii="仿宋" w:hAnsi="仿宋" w:eastAsia="仿宋"/>
          <w:szCs w:val="32"/>
        </w:rPr>
        <w:t>一般公务用车</w:t>
      </w:r>
      <w:r>
        <w:rPr>
          <w:rFonts w:hint="eastAsia" w:ascii="仿宋" w:hAnsi="仿宋" w:eastAsia="仿宋"/>
          <w:szCs w:val="32"/>
          <w:lang w:val="en-US" w:eastAsia="zh-CN"/>
        </w:rPr>
        <w:t>3</w:t>
      </w:r>
      <w:r>
        <w:rPr>
          <w:rFonts w:hint="eastAsia" w:ascii="仿宋" w:hAnsi="仿宋" w:eastAsia="仿宋"/>
          <w:szCs w:val="32"/>
        </w:rPr>
        <w:t>辆；单位价值</w:t>
      </w:r>
      <w:r>
        <w:rPr>
          <w:rFonts w:ascii="仿宋" w:hAnsi="仿宋" w:eastAsia="仿宋"/>
          <w:szCs w:val="32"/>
        </w:rPr>
        <w:t>50</w:t>
      </w:r>
      <w:r>
        <w:rPr>
          <w:rFonts w:hint="eastAsia" w:ascii="仿宋" w:hAnsi="仿宋" w:eastAsia="仿宋"/>
          <w:szCs w:val="32"/>
        </w:rPr>
        <w:t>万元以上通用设备</w:t>
      </w:r>
      <w:r>
        <w:rPr>
          <w:rFonts w:hint="eastAsia" w:ascii="仿宋" w:hAnsi="仿宋" w:eastAsia="仿宋"/>
          <w:szCs w:val="32"/>
          <w:lang w:val="en-US" w:eastAsia="zh-CN"/>
        </w:rPr>
        <w:t>0</w:t>
      </w:r>
      <w:r>
        <w:rPr>
          <w:rFonts w:hint="eastAsia" w:ascii="仿宋" w:hAnsi="仿宋" w:eastAsia="仿宋"/>
          <w:szCs w:val="32"/>
        </w:rPr>
        <w:t>台（套），单位价值</w:t>
      </w:r>
      <w:r>
        <w:rPr>
          <w:rFonts w:ascii="仿宋" w:hAnsi="仿宋" w:eastAsia="仿宋"/>
          <w:szCs w:val="32"/>
        </w:rPr>
        <w:t>100</w:t>
      </w:r>
      <w:r>
        <w:rPr>
          <w:rFonts w:hint="eastAsia" w:ascii="仿宋" w:hAnsi="仿宋" w:eastAsia="仿宋"/>
          <w:szCs w:val="32"/>
        </w:rPr>
        <w:t>万元以上专用设备</w:t>
      </w:r>
      <w:r>
        <w:rPr>
          <w:rFonts w:hint="eastAsia" w:ascii="仿宋" w:hAnsi="仿宋" w:eastAsia="仿宋"/>
          <w:szCs w:val="32"/>
          <w:lang w:val="en-US" w:eastAsia="zh-CN"/>
        </w:rPr>
        <w:t>0</w:t>
      </w:r>
      <w:r>
        <w:rPr>
          <w:rFonts w:hint="eastAsia" w:ascii="仿宋" w:hAnsi="仿宋" w:eastAsia="仿宋"/>
          <w:szCs w:val="32"/>
        </w:rPr>
        <w:t>台（套）。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九、预算绩效管理工作开展情况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按照《濮阳市华龙区财政局关于编制区级部门2020-2022年收支规划和2020年部门预算的通知》（华龙财〔2019〕108号）有关全面推进预算绩效管理方面的要求，本部门牢固树立“讲绩效、重绩效、用绩效”的绩效管理理念，年度预算申报时，针对政策及重点项目逐项设立并报送了预算绩效目标。绩效目标设定涉及</w:t>
      </w:r>
      <w:r>
        <w:rPr>
          <w:rFonts w:hint="eastAsia" w:ascii="仿宋" w:hAnsi="仿宋" w:eastAsia="仿宋"/>
          <w:szCs w:val="32"/>
          <w:lang w:val="en-US" w:eastAsia="zh-CN"/>
        </w:rPr>
        <w:t>7</w:t>
      </w:r>
      <w:r>
        <w:rPr>
          <w:rFonts w:hint="eastAsia" w:ascii="仿宋" w:hAnsi="仿宋" w:eastAsia="仿宋"/>
          <w:szCs w:val="32"/>
        </w:rPr>
        <w:t>个项目，</w:t>
      </w:r>
      <w:r>
        <w:rPr>
          <w:rFonts w:hint="eastAsia" w:ascii="仿宋" w:hAnsi="仿宋" w:eastAsia="仿宋"/>
          <w:szCs w:val="32"/>
          <w:lang w:val="en-US" w:eastAsia="zh-CN"/>
        </w:rPr>
        <w:t>183</w:t>
      </w:r>
      <w:r>
        <w:rPr>
          <w:rFonts w:hint="eastAsia" w:ascii="仿宋" w:hAnsi="仿宋" w:eastAsia="仿宋"/>
          <w:szCs w:val="32"/>
        </w:rPr>
        <w:t>万元，并将以此为基础开展后续预算绩效管理工作，努力建立健全以结果为导向的预算绩效管理工作机制。</w:t>
      </w: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第三部分</w:t>
      </w: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名词解释</w:t>
      </w:r>
    </w:p>
    <w:p>
      <w:pPr>
        <w:ind w:firstLine="640" w:firstLineChars="200"/>
        <w:rPr>
          <w:rFonts w:ascii="仿宋" w:hAnsi="仿宋" w:eastAsia="仿宋"/>
          <w:szCs w:val="32"/>
        </w:rPr>
      </w:pP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一、财政拨款收入</w:t>
      </w:r>
    </w:p>
    <w:p>
      <w:pPr>
        <w:ind w:firstLine="64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指本级财政当年拨付的资金。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二、事业收入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指事业单位开展专务活动及辅助所取得的收入。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三、其他收入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指除“财政拨款”、“事业收入”、“事业单位经营收入”、“附属单位上缴收入”等以外的收入。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四、基本支出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指为保障机构正常运转、完成日常工作任务所必需的开支，其内容包括人员经费和日常公用经费两部分。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五、项目支出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指在基本支出之外，为完成特定的行政工作任务或事业发展目标所发生的支出。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六、机关运行经费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为保障行政单位（含参照公务员法管理的事业单位）正常运转及正常履职需要的支出，包括办公费、印刷费、“三公”经费、差旅费、会议费、日常维修费、办公用房水电费、办公用房取暖费、办公用房物业管理费、公务用车运行维护费以及其他费用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七、“三公”经费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纳入本级财政预决算管理，本级部门使用财政拨款安排的因公出国（境）费、公务用车购置及运行费和公务接待费。其中，因公出国（境）费指单位公务出国（境）的住宿费、旅费、伙食补助费、杂费、培训费等支出；公务用车购置及运行费指单位公务用车购置费及租用费、燃料费、维修费、过路过桥费、保险费、安全奖励费用等支出；公务接待费指单位按规定开支的各类接待支出。</w:t>
      </w:r>
    </w:p>
    <w:p>
      <w:pPr>
        <w:ind w:firstLine="640"/>
        <w:rPr>
          <w:rFonts w:ascii="仿宋" w:hAnsi="仿宋" w:eastAsia="仿宋"/>
          <w:szCs w:val="32"/>
        </w:rPr>
      </w:pPr>
    </w:p>
    <w:p>
      <w:pPr>
        <w:widowControl/>
        <w:jc w:val="left"/>
        <w:rPr>
          <w:rFonts w:ascii="仿宋" w:hAnsi="仿宋" w:eastAsia="仿宋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sz w:val="21"/>
                              <w:szCs w:val="21"/>
                            </w:rPr>
                            <w:t>- 10 -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sz w:val="21"/>
                        <w:szCs w:val="21"/>
                      </w:rPr>
                    </w:pP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sz w:val="21"/>
                        <w:szCs w:val="21"/>
                      </w:rPr>
                      <w:t>- 10 -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FAC"/>
    <w:rsid w:val="000B392C"/>
    <w:rsid w:val="00125FAC"/>
    <w:rsid w:val="00127F6F"/>
    <w:rsid w:val="00162A29"/>
    <w:rsid w:val="001852DE"/>
    <w:rsid w:val="001965F5"/>
    <w:rsid w:val="00196E05"/>
    <w:rsid w:val="001B31A3"/>
    <w:rsid w:val="00207623"/>
    <w:rsid w:val="0024750C"/>
    <w:rsid w:val="002A397A"/>
    <w:rsid w:val="00334DFB"/>
    <w:rsid w:val="00377211"/>
    <w:rsid w:val="003838FD"/>
    <w:rsid w:val="003C0C15"/>
    <w:rsid w:val="004A3479"/>
    <w:rsid w:val="004E79D5"/>
    <w:rsid w:val="0051511D"/>
    <w:rsid w:val="00583109"/>
    <w:rsid w:val="005C4BFD"/>
    <w:rsid w:val="005E427E"/>
    <w:rsid w:val="0060448E"/>
    <w:rsid w:val="00612ECF"/>
    <w:rsid w:val="007C5FD2"/>
    <w:rsid w:val="00845860"/>
    <w:rsid w:val="008A08E8"/>
    <w:rsid w:val="008A2F34"/>
    <w:rsid w:val="008D7DD2"/>
    <w:rsid w:val="008E57A8"/>
    <w:rsid w:val="00925F66"/>
    <w:rsid w:val="00975602"/>
    <w:rsid w:val="00976444"/>
    <w:rsid w:val="009A1FE2"/>
    <w:rsid w:val="00A02B5D"/>
    <w:rsid w:val="00B62460"/>
    <w:rsid w:val="00BC0D2F"/>
    <w:rsid w:val="00C15DCD"/>
    <w:rsid w:val="00C56A03"/>
    <w:rsid w:val="00D56ECE"/>
    <w:rsid w:val="00DA4FD4"/>
    <w:rsid w:val="00DF06AF"/>
    <w:rsid w:val="00E56EAF"/>
    <w:rsid w:val="00E72D14"/>
    <w:rsid w:val="00F34146"/>
    <w:rsid w:val="00F97444"/>
    <w:rsid w:val="00FC2311"/>
    <w:rsid w:val="00FD4637"/>
    <w:rsid w:val="00FE26A6"/>
    <w:rsid w:val="0AAB5E57"/>
    <w:rsid w:val="30375614"/>
    <w:rsid w:val="3F355784"/>
    <w:rsid w:val="433349AC"/>
    <w:rsid w:val="475C680C"/>
    <w:rsid w:val="50DB16FA"/>
    <w:rsid w:val="537D4091"/>
    <w:rsid w:val="6BA32020"/>
    <w:rsid w:val="7CC67A2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eastAsia="仿宋_GB2312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jc w:val="center"/>
      <w:outlineLvl w:val="0"/>
    </w:pPr>
    <w:rPr>
      <w:rFonts w:ascii="方正小标宋_GBK" w:eastAsia="方正小标宋_GBK"/>
      <w:sz w:val="44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标题 1 字符"/>
    <w:basedOn w:val="8"/>
    <w:link w:val="2"/>
    <w:qFormat/>
    <w:uiPriority w:val="9"/>
    <w:rPr>
      <w:rFonts w:ascii="方正小标宋_GBK" w:eastAsia="方正小标宋_GBK"/>
      <w:sz w:val="44"/>
    </w:rPr>
  </w:style>
  <w:style w:type="character" w:customStyle="1" w:styleId="10">
    <w:name w:val="页眉 字符"/>
    <w:basedOn w:val="8"/>
    <w:link w:val="5"/>
    <w:qFormat/>
    <w:uiPriority w:val="99"/>
    <w:rPr>
      <w:rFonts w:ascii="仿宋_GB2312" w:eastAsia="仿宋_GB2312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仿宋_GB2312" w:eastAsia="仿宋_GB2312"/>
      <w:sz w:val="18"/>
      <w:szCs w:val="18"/>
    </w:rPr>
  </w:style>
  <w:style w:type="paragraph" w:customStyle="1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批注框文本 字符"/>
    <w:basedOn w:val="8"/>
    <w:link w:val="3"/>
    <w:semiHidden/>
    <w:qFormat/>
    <w:uiPriority w:val="99"/>
    <w:rPr>
      <w:rFonts w:ascii="仿宋_GB2312" w:eastAsia="仿宋_GB231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397</Words>
  <Characters>2269</Characters>
  <Lines>18</Lines>
  <Paragraphs>5</Paragraphs>
  <TotalTime>0</TotalTime>
  <ScaleCrop>false</ScaleCrop>
  <LinksUpToDate>false</LinksUpToDate>
  <CharactersWithSpaces>2661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2020-03-03T01:56:00Z</dcterms:created>
  <dc:creator>ys-pc</dc:creator>
  <cp:lastModifiedBy>lenovo</cp:lastModifiedBy>
  <cp:lastPrinted>2020-06-18T03:05:00Z</cp:lastPrinted>
  <dcterms:modified xsi:type="dcterms:W3CDTF">2020-12-14T07:54:39Z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