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color w:val="000000" w:themeColor="text1"/>
          <w:sz w:val="40"/>
          <w14:textFill>
            <w14:solidFill>
              <w14:schemeClr w14:val="tx1"/>
            </w14:solidFill>
          </w14:textFill>
        </w:rPr>
      </w:pPr>
    </w:p>
    <w:p>
      <w:pPr>
        <w:rPr>
          <w:rFonts w:hint="eastAsia" w:ascii="方正小标宋_GBK" w:eastAsia="方正小标宋_GBK"/>
          <w:color w:val="000000" w:themeColor="text1"/>
          <w:sz w:val="40"/>
          <w14:textFill>
            <w14:solidFill>
              <w14:schemeClr w14:val="tx1"/>
            </w14:solidFill>
          </w14:textFill>
        </w:rPr>
      </w:pPr>
    </w:p>
    <w:p>
      <w:pPr>
        <w:jc w:val="center"/>
        <w:rPr>
          <w:rFonts w:hint="eastAsia" w:ascii="方正小标宋简体" w:hAnsi="方正小标宋简体" w:eastAsia="方正小标宋简体" w:cs="方正小标宋简体"/>
          <w:color w:val="000000" w:themeColor="text1"/>
          <w:w w:val="85"/>
          <w:sz w:val="56"/>
          <w:lang w:eastAsia="zh-CN"/>
          <w14:textFill>
            <w14:solidFill>
              <w14:schemeClr w14:val="tx1"/>
            </w14:solidFill>
          </w14:textFill>
        </w:rPr>
      </w:pPr>
      <w:r>
        <w:rPr>
          <w:rFonts w:hint="eastAsia" w:ascii="方正小标宋简体" w:hAnsi="方正小标宋简体" w:eastAsia="方正小标宋简体" w:cs="方正小标宋简体"/>
          <w:color w:val="000000" w:themeColor="text1"/>
          <w:w w:val="85"/>
          <w:sz w:val="56"/>
          <w:lang w:eastAsia="zh-CN"/>
          <w14:textFill>
            <w14:solidFill>
              <w14:schemeClr w14:val="tx1"/>
            </w14:solidFill>
          </w14:textFill>
        </w:rPr>
        <w:t>濮阳市华龙区人民法院</w:t>
      </w:r>
    </w:p>
    <w:p>
      <w:pPr>
        <w:jc w:val="center"/>
        <w:rPr>
          <w:rFonts w:ascii="方正小标宋简体" w:hAnsi="方正小标宋简体" w:eastAsia="方正小标宋简体" w:cs="方正小标宋简体"/>
          <w:color w:val="000000" w:themeColor="text1"/>
          <w:spacing w:val="-20"/>
          <w:sz w:val="44"/>
          <w14:textFill>
            <w14:solidFill>
              <w14:schemeClr w14:val="tx1"/>
            </w14:solidFill>
          </w14:textFill>
        </w:rPr>
      </w:pPr>
      <w:r>
        <w:rPr>
          <w:rFonts w:hint="eastAsia" w:ascii="方正小标宋简体" w:hAnsi="方正小标宋简体" w:eastAsia="方正小标宋简体" w:cs="方正小标宋简体"/>
          <w:color w:val="000000" w:themeColor="text1"/>
          <w:w w:val="85"/>
          <w:sz w:val="56"/>
          <w14:textFill>
            <w14:solidFill>
              <w14:schemeClr w14:val="tx1"/>
            </w14:solidFill>
          </w14:textFill>
        </w:rPr>
        <w:t>2020年部门预算公开说明</w:t>
      </w:r>
    </w:p>
    <w:p>
      <w:pPr>
        <w:jc w:val="center"/>
        <w:rPr>
          <w:rFonts w:ascii="方正小标宋_GBK" w:eastAsia="方正小标宋_GBK"/>
          <w:color w:val="000000" w:themeColor="text1"/>
          <w:sz w:val="40"/>
          <w14:textFill>
            <w14:solidFill>
              <w14:schemeClr w14:val="tx1"/>
            </w14:solidFill>
          </w14:textFill>
        </w:rPr>
      </w:pPr>
    </w:p>
    <w:p>
      <w:pPr>
        <w:jc w:val="center"/>
        <w:rPr>
          <w:rFonts w:hint="eastAsia"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hint="eastAsia" w:ascii="方正小标宋_GBK" w:eastAsia="方正小标宋_GBK"/>
          <w:color w:val="000000" w:themeColor="text1"/>
          <w:sz w:val="40"/>
          <w14:textFill>
            <w14:solidFill>
              <w14:schemeClr w14:val="tx1"/>
            </w14:solidFill>
          </w14:textFill>
        </w:rPr>
      </w:pPr>
    </w:p>
    <w:p>
      <w:pPr>
        <w:jc w:val="center"/>
        <w:rPr>
          <w:rFonts w:ascii="楷体_GB2312" w:eastAsia="楷体_GB2312"/>
          <w:b/>
          <w:color w:val="000000" w:themeColor="text1"/>
          <w:w w:val="90"/>
          <w:sz w:val="40"/>
          <w14:textFill>
            <w14:solidFill>
              <w14:schemeClr w14:val="tx1"/>
            </w14:solidFill>
          </w14:textFill>
        </w:rPr>
      </w:pPr>
      <w:r>
        <w:rPr>
          <w:rFonts w:hint="eastAsia" w:ascii="楷体_GB2312" w:eastAsia="楷体_GB2312"/>
          <w:b/>
          <w:color w:val="000000" w:themeColor="text1"/>
          <w:w w:val="90"/>
          <w:sz w:val="40"/>
          <w14:textFill>
            <w14:solidFill>
              <w14:schemeClr w14:val="tx1"/>
            </w14:solidFill>
          </w14:textFill>
        </w:rPr>
        <w:t>二</w:t>
      </w:r>
      <w:r>
        <w:rPr>
          <w:rFonts w:hint="eastAsia" w:ascii="宋体" w:hAnsi="宋体" w:cs="宋体"/>
          <w:b/>
          <w:color w:val="000000" w:themeColor="text1"/>
          <w:w w:val="90"/>
          <w:sz w:val="40"/>
          <w14:textFill>
            <w14:solidFill>
              <w14:schemeClr w14:val="tx1"/>
            </w14:solidFill>
          </w14:textFill>
        </w:rPr>
        <w:t>〇</w:t>
      </w:r>
      <w:r>
        <w:rPr>
          <w:rFonts w:hint="eastAsia" w:ascii="楷体_GB2312" w:eastAsia="楷体_GB2312"/>
          <w:b/>
          <w:color w:val="000000" w:themeColor="text1"/>
          <w:w w:val="90"/>
          <w:sz w:val="40"/>
          <w14:textFill>
            <w14:solidFill>
              <w14:schemeClr w14:val="tx1"/>
            </w14:solidFill>
          </w14:textFill>
        </w:rPr>
        <w:t>二</w:t>
      </w:r>
      <w:r>
        <w:rPr>
          <w:rFonts w:hint="eastAsia" w:ascii="宋体" w:hAnsi="宋体" w:cs="宋体"/>
          <w:b/>
          <w:color w:val="000000" w:themeColor="text1"/>
          <w:w w:val="90"/>
          <w:sz w:val="40"/>
          <w14:textFill>
            <w14:solidFill>
              <w14:schemeClr w14:val="tx1"/>
            </w14:solidFill>
          </w14:textFill>
        </w:rPr>
        <w:t>〇</w:t>
      </w:r>
      <w:r>
        <w:rPr>
          <w:rFonts w:hint="eastAsia" w:ascii="楷体_GB2312" w:hAnsi="楷体_GB2312" w:eastAsia="楷体_GB2312" w:cs="楷体_GB2312"/>
          <w:b/>
          <w:color w:val="000000" w:themeColor="text1"/>
          <w:w w:val="90"/>
          <w:sz w:val="40"/>
          <w14:textFill>
            <w14:solidFill>
              <w14:schemeClr w14:val="tx1"/>
            </w14:solidFill>
          </w14:textFill>
        </w:rPr>
        <w:t>年六月</w:t>
      </w:r>
    </w:p>
    <w:p>
      <w:pPr>
        <w:widowControl/>
        <w:jc w:val="left"/>
        <w:rPr>
          <w:rFonts w:ascii="黑体" w:hAnsi="黑体" w:eastAsia="黑体" w:cs="宋体"/>
          <w:color w:val="000000" w:themeColor="text1"/>
          <w:kern w:val="0"/>
          <w:sz w:val="44"/>
          <w:szCs w:val="32"/>
          <w14:textFill>
            <w14:solidFill>
              <w14:schemeClr w14:val="tx1"/>
            </w14:solidFill>
          </w14:textFill>
        </w:rPr>
      </w:pPr>
      <w:r>
        <w:rPr>
          <w:rFonts w:ascii="黑体" w:hAnsi="黑体" w:eastAsia="黑体"/>
          <w:color w:val="000000" w:themeColor="text1"/>
          <w:sz w:val="44"/>
          <w:szCs w:val="32"/>
          <w14:textFill>
            <w14:solidFill>
              <w14:schemeClr w14:val="tx1"/>
            </w14:solidFill>
          </w14:textFill>
        </w:rPr>
        <w:br w:type="page"/>
      </w:r>
    </w:p>
    <w:p>
      <w:pPr>
        <w:pStyle w:val="6"/>
        <w:topLinePunct/>
        <w:spacing w:before="0" w:beforeAutospacing="0" w:after="0" w:afterAutospacing="0" w:line="360" w:lineRule="auto"/>
        <w:ind w:firstLine="880"/>
        <w:jc w:val="center"/>
        <w:rPr>
          <w:rFonts w:ascii="黑体" w:hAnsi="黑体" w:eastAsia="黑体"/>
          <w:color w:val="000000" w:themeColor="text1"/>
          <w:sz w:val="44"/>
          <w:szCs w:val="32"/>
          <w14:textFill>
            <w14:solidFill>
              <w14:schemeClr w14:val="tx1"/>
            </w14:solidFill>
          </w14:textFill>
        </w:rPr>
      </w:pPr>
    </w:p>
    <w:p>
      <w:pPr>
        <w:pStyle w:val="6"/>
        <w:topLinePunct/>
        <w:spacing w:before="0" w:beforeAutospacing="0" w:after="0" w:afterAutospacing="0" w:line="360" w:lineRule="auto"/>
        <w:jc w:val="center"/>
        <w:rPr>
          <w:rFonts w:ascii="黑体" w:hAnsi="黑体" w:eastAsia="黑体"/>
          <w:color w:val="000000" w:themeColor="text1"/>
          <w:sz w:val="44"/>
          <w:szCs w:val="32"/>
          <w14:textFill>
            <w14:solidFill>
              <w14:schemeClr w14:val="tx1"/>
            </w14:solidFill>
          </w14:textFill>
        </w:rPr>
      </w:pPr>
      <w:r>
        <w:rPr>
          <w:rFonts w:hint="eastAsia" w:ascii="黑体" w:hAnsi="黑体" w:eastAsia="黑体"/>
          <w:color w:val="000000" w:themeColor="text1"/>
          <w:sz w:val="44"/>
          <w:szCs w:val="32"/>
          <w14:textFill>
            <w14:solidFill>
              <w14:schemeClr w14:val="tx1"/>
            </w14:solidFill>
          </w14:textFill>
        </w:rPr>
        <w:t>目 录</w:t>
      </w:r>
    </w:p>
    <w:p>
      <w:pPr>
        <w:pStyle w:val="6"/>
        <w:topLinePunct/>
        <w:spacing w:before="0" w:beforeAutospacing="0" w:after="0" w:afterAutospacing="0" w:line="360" w:lineRule="auto"/>
        <w:ind w:firstLine="720"/>
        <w:jc w:val="center"/>
        <w:rPr>
          <w:rFonts w:ascii="黑体" w:hAnsi="黑体" w:eastAsia="黑体"/>
          <w:color w:val="000000" w:themeColor="text1"/>
          <w:sz w:val="36"/>
          <w:szCs w:val="32"/>
          <w14:textFill>
            <w14:solidFill>
              <w14:schemeClr w14:val="tx1"/>
            </w14:solidFill>
          </w14:textFill>
        </w:rPr>
      </w:pPr>
    </w:p>
    <w:p>
      <w:pPr>
        <w:pStyle w:val="6"/>
        <w:overflowPunct w:val="0"/>
        <w:topLinePunct/>
        <w:spacing w:before="0" w:beforeAutospacing="0" w:after="0" w:afterAutospacing="0" w:line="360" w:lineRule="auto"/>
        <w:ind w:firstLine="640"/>
        <w:jc w:val="both"/>
        <w:rPr>
          <w:color w:val="000000" w:themeColor="text1"/>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第一部分</w:t>
      </w:r>
      <w:r>
        <w:rPr>
          <w:rFonts w:hint="eastAsia"/>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部门概况</w:t>
      </w:r>
      <w:r>
        <w:rPr>
          <w:rFonts w:hint="eastAsia"/>
          <w:color w:val="000000" w:themeColor="text1"/>
          <w:sz w:val="32"/>
          <w:szCs w:val="32"/>
          <w14:textFill>
            <w14:solidFill>
              <w14:schemeClr w14:val="tx1"/>
            </w14:solidFill>
          </w14:textFill>
        </w:rPr>
        <w:t> </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一、部门主要职责</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themeColor="text1"/>
          <w:sz w:val="32"/>
          <w:szCs w:val="32"/>
          <w14:textFill>
            <w14:solidFill>
              <w14:schemeClr w14:val="tx1"/>
            </w14:solidFill>
          </w14:textFill>
        </w:rPr>
      </w:pPr>
    </w:p>
    <w:p>
      <w:pPr>
        <w:pStyle w:val="6"/>
        <w:overflowPunct w:val="0"/>
        <w:topLinePunct/>
        <w:spacing w:before="0" w:beforeAutospacing="0" w:after="0" w:afterAutospacing="0" w:line="360" w:lineRule="auto"/>
        <w:ind w:firstLine="640"/>
        <w:jc w:val="both"/>
        <w:rPr>
          <w:color w:val="000000" w:themeColor="text1"/>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附件：</w:t>
      </w:r>
      <w:r>
        <w:rPr>
          <w:rFonts w:hint="eastAsia" w:ascii="黑体" w:hAnsi="黑体" w:eastAsia="黑体"/>
          <w:color w:val="000000" w:themeColor="text1"/>
          <w:sz w:val="32"/>
          <w:szCs w:val="32"/>
          <w:lang w:eastAsia="zh-CN"/>
          <w14:textFill>
            <w14:solidFill>
              <w14:schemeClr w14:val="tx1"/>
            </w14:solidFill>
          </w14:textFill>
        </w:rPr>
        <w:t>濮阳市华龙区人民法院</w:t>
      </w:r>
      <w:r>
        <w:rPr>
          <w:rFonts w:hint="eastAsia" w:ascii="黑体" w:hAnsi="黑体" w:eastAsia="黑体"/>
          <w:color w:val="000000" w:themeColor="text1"/>
          <w:sz w:val="32"/>
          <w:szCs w:val="32"/>
          <w14:textFill>
            <w14:solidFill>
              <w14:schemeClr w14:val="tx1"/>
            </w14:solidFill>
          </w14:textFill>
        </w:rPr>
        <w:t>2020年部门预算表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一、部门收支总表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二、部门收入总表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三、部门支出总表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四、财政拨款收支总表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五、一般公共预算支出表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六、一般公共预算基本支出表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七、一般公共预算“三公”经费支出表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八、政府性基金预算支出表</w:t>
      </w:r>
    </w:p>
    <w:p>
      <w:pPr>
        <w:ind w:firstLine="640" w:firstLineChars="200"/>
        <w:rPr>
          <w:rFonts w:ascii="黑体" w:hAnsi="黑体" w:eastAsia="黑体"/>
          <w:color w:val="000000" w:themeColor="text1"/>
          <w:szCs w:val="32"/>
          <w14:textFill>
            <w14:solidFill>
              <w14:schemeClr w14:val="tx1"/>
            </w14:solidFill>
          </w14:textFill>
        </w:rPr>
      </w:pPr>
    </w:p>
    <w:p>
      <w:pPr>
        <w:rPr>
          <w:rFonts w:ascii="黑体" w:hAnsi="黑体" w:eastAsia="黑体"/>
          <w:color w:val="000000" w:themeColor="text1"/>
          <w:szCs w:val="32"/>
          <w14:textFill>
            <w14:solidFill>
              <w14:schemeClr w14:val="tx1"/>
            </w14:solidFill>
          </w14:textFill>
        </w:rPr>
      </w:pPr>
      <w:r>
        <w:rPr>
          <w:rFonts w:ascii="黑体" w:hAnsi="黑体" w:eastAsia="黑体"/>
          <w:color w:val="000000" w:themeColor="text1"/>
          <w:szCs w:val="32"/>
          <w14:textFill>
            <w14:solidFill>
              <w14:schemeClr w14:val="tx1"/>
            </w14:solidFill>
          </w14:textFill>
        </w:rPr>
        <w:br w:type="page"/>
      </w:r>
    </w:p>
    <w:p>
      <w:pPr>
        <w:ind w:firstLine="640" w:firstLineChars="200"/>
        <w:rPr>
          <w:rFonts w:ascii="黑体" w:hAnsi="黑体" w:eastAsia="黑体"/>
          <w:color w:val="000000" w:themeColor="text1"/>
          <w:szCs w:val="32"/>
          <w14:textFill>
            <w14:solidFill>
              <w14:schemeClr w14:val="tx1"/>
            </w14:solidFill>
          </w14:textFill>
        </w:rPr>
      </w:pP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第一部分</w:t>
      </w: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部门概况</w:t>
      </w:r>
    </w:p>
    <w:p>
      <w:pPr>
        <w:ind w:firstLine="640" w:firstLineChars="200"/>
        <w:rPr>
          <w:rFonts w:ascii="黑体" w:hAnsi="黑体" w:eastAsia="黑体"/>
          <w:color w:val="000000" w:themeColor="text1"/>
          <w:szCs w:val="32"/>
          <w14:textFill>
            <w14:solidFill>
              <w14:schemeClr w14:val="tx1"/>
            </w14:solidFill>
          </w14:textFill>
        </w:rPr>
      </w:pPr>
      <w:r>
        <w:rPr>
          <w:rFonts w:ascii="黑体" w:hAnsi="黑体" w:eastAsia="黑体"/>
          <w:color w:val="000000" w:themeColor="text1"/>
          <w:szCs w:val="32"/>
          <w14:textFill>
            <w14:solidFill>
              <w14:schemeClr w14:val="tx1"/>
            </w14:solidFill>
          </w14:textFill>
        </w:rPr>
        <w:t> </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一、部门主要职责</w:t>
      </w:r>
    </w:p>
    <w:p>
      <w:pPr>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濮阳市华龙区人民法院是国家的审判机关，依法独立行使审判权，对华龙区人民代表大会及其常常务委员会负责并报告工作，接受华龙区人民代表大会及其常务委员会监督，其审判工作接受市中级人民法院的监督。其主要职责是：</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（一）依法审判法律规定由基层人民法院管辖和上级法院指定管辖的刑事、民事、行政等第一审案件。</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（二）审查和受理各类申诉案件，审判各类再审案件，处理涉诉信访。</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（三）依法审判上级人民检察院按照审判监督程序提出的抗诉案件。</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（四）依法办理发生法律效力的民事、行政案件判决和裁定执行事项及刑事案件判决和裁定中关于财产部分的执行事项；办理法律规定由基层人民法院执行的其他法律文书的执行事项。</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（五）管理、使用本院的司法警察力量，保证机关和押解人犯的安全，维护正常的审判执行工作秩序。</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（六）负责本院审判工作的管理监督、调查研究，总结审判工作经验。</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（七）负责本院干警思想政治教育、法制宣传和业务培训工作；按照权限管理法官和其他工作人员；协同上级法院及区主管部门管理</w:t>
      </w:r>
      <w:r>
        <w:rPr>
          <w:rFonts w:hint="eastAsia" w:ascii="仿宋" w:hAnsi="仿宋" w:eastAsia="仿宋" w:cs="仿宋"/>
          <w:snapToGrid w:val="0"/>
          <w:color w:val="000000" w:themeColor="text1"/>
          <w:kern w:val="0"/>
          <w:sz w:val="32"/>
          <w:szCs w:val="32"/>
          <w:lang w:eastAsia="zh-CN"/>
          <w14:textFill>
            <w14:solidFill>
              <w14:schemeClr w14:val="tx1"/>
            </w14:solidFill>
          </w14:textFill>
        </w:rPr>
        <w:t>本</w:t>
      </w:r>
      <w:r>
        <w:rPr>
          <w:rFonts w:hint="eastAsia" w:ascii="仿宋" w:hAnsi="仿宋" w:eastAsia="仿宋" w:cs="仿宋"/>
          <w:snapToGrid w:val="0"/>
          <w:color w:val="000000" w:themeColor="text1"/>
          <w:kern w:val="0"/>
          <w:sz w:val="32"/>
          <w:szCs w:val="32"/>
          <w14:textFill>
            <w14:solidFill>
              <w14:schemeClr w14:val="tx1"/>
            </w14:solidFill>
          </w14:textFill>
        </w:rPr>
        <w:t>院的机构设置、人员编制工作。</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（八）负责本院的内部监督和法官惩戒工作。</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（九）管理本院的有关经费及物资装备。</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（十）负责本院司法技术鉴定、通讯、网络信息等技术管理工作。</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（十一）全面领导基层人民法庭工作。</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（十二）负责人民陪审员的选任、培训、使用、考核、奖惩等相关工作。</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（十三）自觉接受上级法院对审判</w:t>
      </w:r>
      <w:r>
        <w:rPr>
          <w:rFonts w:hint="eastAsia" w:ascii="仿宋" w:hAnsi="仿宋" w:eastAsia="仿宋" w:cs="仿宋"/>
          <w:snapToGrid w:val="0"/>
          <w:color w:val="000000" w:themeColor="text1"/>
          <w:kern w:val="0"/>
          <w:sz w:val="32"/>
          <w:szCs w:val="32"/>
          <w:lang w:eastAsia="zh-CN"/>
          <w14:textFill>
            <w14:solidFill>
              <w14:schemeClr w14:val="tx1"/>
            </w14:solidFill>
          </w14:textFill>
        </w:rPr>
        <w:t>执行</w:t>
      </w:r>
      <w:r>
        <w:rPr>
          <w:rFonts w:hint="eastAsia" w:ascii="仿宋" w:hAnsi="仿宋" w:eastAsia="仿宋" w:cs="仿宋"/>
          <w:snapToGrid w:val="0"/>
          <w:color w:val="000000" w:themeColor="text1"/>
          <w:kern w:val="0"/>
          <w:sz w:val="32"/>
          <w:szCs w:val="32"/>
          <w14:textFill>
            <w14:solidFill>
              <w14:schemeClr w14:val="tx1"/>
            </w14:solidFill>
          </w14:textFill>
        </w:rPr>
        <w:t>工作的监督和指导。</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s="仿宋"/>
          <w:snapToGrid w:val="0"/>
          <w:color w:val="000000" w:themeColor="text1"/>
          <w:kern w:val="0"/>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（十四）做好人大代表、政协委员联络工作。</w:t>
      </w:r>
    </w:p>
    <w:p>
      <w:pPr>
        <w:keepNext w:val="0"/>
        <w:keepLines w:val="0"/>
        <w:pageBreakBefore w:val="0"/>
        <w:widowControl w:val="0"/>
        <w:kinsoku/>
        <w:wordWrap/>
        <w:overflowPunct/>
        <w:topLinePunct w:val="0"/>
        <w:autoSpaceDE/>
        <w:autoSpaceDN/>
        <w:bidi w:val="0"/>
        <w:adjustRightInd w:val="0"/>
        <w:snapToGrid w:val="0"/>
        <w:spacing w:line="590" w:lineRule="exact"/>
        <w:ind w:left="0" w:firstLine="640" w:firstLineChars="200"/>
        <w:textAlignment w:val="auto"/>
        <w:outlineLvl w:val="9"/>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s="仿宋"/>
          <w:snapToGrid w:val="0"/>
          <w:color w:val="000000" w:themeColor="text1"/>
          <w:kern w:val="0"/>
          <w:sz w:val="32"/>
          <w:szCs w:val="32"/>
          <w14:textFill>
            <w14:solidFill>
              <w14:schemeClr w14:val="tx1"/>
            </w14:solidFill>
          </w14:textFill>
        </w:rPr>
        <w:t>（十五）完成其他应由基层人民法院负责的工作。</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二、机构设置情况</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根据工作职责及实际工作需要，濮阳市华龙区人民法院内设</w:t>
      </w:r>
      <w:r>
        <w:rPr>
          <w:rFonts w:hint="eastAsia" w:ascii="仿宋" w:hAnsi="仿宋" w:eastAsia="仿宋"/>
          <w:color w:val="000000" w:themeColor="text1"/>
          <w:sz w:val="32"/>
          <w:szCs w:val="32"/>
          <w:lang w:val="en-US" w:eastAsia="zh-CN"/>
          <w14:textFill>
            <w14:solidFill>
              <w14:schemeClr w14:val="tx1"/>
            </w14:solidFill>
          </w14:textFill>
        </w:rPr>
        <w:t>8个职能部门。纪检监察机构按照有关规定另行设置。有立案庭（诉讼服务中心）、刑事审判庭、民事审判庭、行政审判庭（综合审判庭）、执行局、政治处、综合办公室（司法警察大队、督查室）、审判管理办公室（研究室）。三个派出基层法庭有中原法庭、孟轲法庭、胡村法庭。下属事业单位华龙区法院综合服务中心一个。</w:t>
      </w:r>
      <w:r>
        <w:rPr>
          <w:rFonts w:hint="eastAsia" w:ascii="仿宋" w:hAnsi="仿宋" w:eastAsia="仿宋"/>
          <w:color w:val="000000" w:themeColor="text1"/>
          <w:sz w:val="32"/>
          <w:szCs w:val="32"/>
          <w14:textFill>
            <w14:solidFill>
              <w14:schemeClr w14:val="tx1"/>
            </w14:solidFill>
          </w14:textFill>
        </w:rPr>
        <w:t>本部门经费实行全额预算管理。本部门无独立核算的下属预算单位，部门本级预算即汇总预算。</w:t>
      </w:r>
    </w:p>
    <w:p>
      <w:pPr>
        <w:ind w:firstLine="640" w:firstLineChars="200"/>
        <w:rPr>
          <w:rFonts w:ascii="仿宋" w:hAnsi="仿宋" w:eastAsia="仿宋"/>
          <w:color w:val="000000" w:themeColor="text1"/>
          <w:szCs w:val="32"/>
          <w14:textFill>
            <w14:solidFill>
              <w14:schemeClr w14:val="tx1"/>
            </w14:solidFill>
          </w14:textFill>
        </w:rPr>
      </w:pPr>
    </w:p>
    <w:p>
      <w:pPr>
        <w:ind w:firstLine="640" w:firstLineChars="200"/>
        <w:rPr>
          <w:rFonts w:ascii="黑体" w:hAnsi="黑体" w:eastAsia="黑体"/>
          <w:color w:val="000000" w:themeColor="text1"/>
          <w:szCs w:val="32"/>
          <w14:textFill>
            <w14:solidFill>
              <w14:schemeClr w14:val="tx1"/>
            </w14:solidFill>
          </w14:textFill>
        </w:rPr>
      </w:pP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第二部分</w:t>
      </w: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2020年部门预算情况说明</w:t>
      </w:r>
    </w:p>
    <w:p>
      <w:pPr>
        <w:ind w:firstLine="640" w:firstLineChars="200"/>
        <w:rPr>
          <w:rFonts w:ascii="华文仿宋" w:hAnsi="华文仿宋" w:eastAsia="华文仿宋"/>
          <w:color w:val="000000" w:themeColor="text1"/>
          <w:szCs w:val="32"/>
          <w14:textFill>
            <w14:solidFill>
              <w14:schemeClr w14:val="tx1"/>
            </w14:solidFill>
          </w14:textFill>
        </w:rPr>
      </w:pP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一、本级预算和所属单位预算在内的汇总预算总体情况</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本部门无独立核算的下属预算单位，部门本级预算即汇总预算。</w:t>
      </w:r>
      <w:r>
        <w:rPr>
          <w:rFonts w:ascii="仿宋" w:hAnsi="仿宋" w:eastAsia="仿宋"/>
          <w:color w:val="000000" w:themeColor="text1"/>
          <w:szCs w:val="32"/>
          <w14:textFill>
            <w14:solidFill>
              <w14:schemeClr w14:val="tx1"/>
            </w14:solidFill>
          </w14:textFill>
        </w:rPr>
        <w:t>20</w:t>
      </w:r>
      <w:r>
        <w:rPr>
          <w:rFonts w:hint="eastAsia" w:ascii="仿宋" w:hAnsi="仿宋" w:eastAsia="仿宋"/>
          <w:color w:val="000000" w:themeColor="text1"/>
          <w:szCs w:val="32"/>
          <w14:textFill>
            <w14:solidFill>
              <w14:schemeClr w14:val="tx1"/>
            </w14:solidFill>
          </w14:textFill>
        </w:rPr>
        <w:t>20年本部门预算收入总计</w:t>
      </w:r>
      <w:r>
        <w:rPr>
          <w:rFonts w:hint="eastAsia" w:ascii="仿宋" w:hAnsi="仿宋" w:eastAsia="仿宋"/>
          <w:color w:val="000000" w:themeColor="text1"/>
          <w:szCs w:val="32"/>
          <w:lang w:val="en-US" w:eastAsia="zh-CN"/>
          <w14:textFill>
            <w14:solidFill>
              <w14:schemeClr w14:val="tx1"/>
            </w14:solidFill>
          </w14:textFill>
        </w:rPr>
        <w:t>3966.04</w:t>
      </w:r>
      <w:r>
        <w:rPr>
          <w:rFonts w:hint="eastAsia" w:ascii="仿宋" w:hAnsi="仿宋" w:eastAsia="仿宋"/>
          <w:color w:val="000000" w:themeColor="text1"/>
          <w:szCs w:val="32"/>
          <w14:textFill>
            <w14:solidFill>
              <w14:schemeClr w14:val="tx1"/>
            </w14:solidFill>
          </w14:textFill>
        </w:rPr>
        <w:t>万元，支出总计</w:t>
      </w:r>
      <w:r>
        <w:rPr>
          <w:rFonts w:hint="eastAsia" w:ascii="仿宋" w:hAnsi="仿宋" w:eastAsia="仿宋"/>
          <w:color w:val="000000" w:themeColor="text1"/>
          <w:szCs w:val="32"/>
          <w:lang w:val="en-US" w:eastAsia="zh-CN"/>
          <w14:textFill>
            <w14:solidFill>
              <w14:schemeClr w14:val="tx1"/>
            </w14:solidFill>
          </w14:textFill>
        </w:rPr>
        <w:t>3966.04</w:t>
      </w:r>
      <w:r>
        <w:rPr>
          <w:rFonts w:hint="eastAsia" w:ascii="仿宋" w:hAnsi="仿宋" w:eastAsia="仿宋"/>
          <w:color w:val="000000" w:themeColor="text1"/>
          <w:szCs w:val="32"/>
          <w14:textFill>
            <w14:solidFill>
              <w14:schemeClr w14:val="tx1"/>
            </w14:solidFill>
          </w14:textFill>
        </w:rPr>
        <w:t>万元。</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二、部门预算收支增减变动情况</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20</w:t>
      </w:r>
      <w:r>
        <w:rPr>
          <w:rFonts w:hint="eastAsia" w:ascii="仿宋" w:hAnsi="仿宋" w:eastAsia="仿宋"/>
          <w:color w:val="000000" w:themeColor="text1"/>
          <w:sz w:val="32"/>
          <w:szCs w:val="32"/>
          <w:lang w:val="en-US" w:eastAsia="zh-CN"/>
          <w14:textFill>
            <w14:solidFill>
              <w14:schemeClr w14:val="tx1"/>
            </w14:solidFill>
          </w14:textFill>
        </w:rPr>
        <w:t>20</w:t>
      </w:r>
      <w:r>
        <w:rPr>
          <w:rFonts w:hint="eastAsia" w:ascii="仿宋" w:hAnsi="仿宋" w:eastAsia="仿宋"/>
          <w:color w:val="000000" w:themeColor="text1"/>
          <w:sz w:val="32"/>
          <w:szCs w:val="32"/>
          <w14:textFill>
            <w14:solidFill>
              <w14:schemeClr w14:val="tx1"/>
            </w14:solidFill>
          </w14:textFill>
        </w:rPr>
        <w:t>年本部门财政预算收入总计</w:t>
      </w:r>
      <w:r>
        <w:rPr>
          <w:rFonts w:hint="eastAsia" w:ascii="仿宋" w:hAnsi="仿宋" w:eastAsia="仿宋"/>
          <w:color w:val="000000" w:themeColor="text1"/>
          <w:sz w:val="32"/>
          <w:szCs w:val="32"/>
          <w:lang w:val="en-US" w:eastAsia="zh-CN"/>
          <w14:textFill>
            <w14:solidFill>
              <w14:schemeClr w14:val="tx1"/>
            </w14:solidFill>
          </w14:textFill>
        </w:rPr>
        <w:t>3966.04</w:t>
      </w:r>
      <w:r>
        <w:rPr>
          <w:rFonts w:hint="eastAsia" w:ascii="仿宋" w:hAnsi="仿宋" w:eastAsia="仿宋"/>
          <w:color w:val="000000" w:themeColor="text1"/>
          <w:sz w:val="32"/>
          <w:szCs w:val="32"/>
          <w14:textFill>
            <w14:solidFill>
              <w14:schemeClr w14:val="tx1"/>
            </w14:solidFill>
          </w14:textFill>
        </w:rPr>
        <w:t>万元，支出总计</w:t>
      </w:r>
      <w:r>
        <w:rPr>
          <w:rFonts w:hint="eastAsia" w:ascii="仿宋" w:hAnsi="仿宋" w:eastAsia="仿宋"/>
          <w:color w:val="000000" w:themeColor="text1"/>
          <w:sz w:val="32"/>
          <w:szCs w:val="32"/>
          <w:lang w:val="en-US" w:eastAsia="zh-CN"/>
          <w14:textFill>
            <w14:solidFill>
              <w14:schemeClr w14:val="tx1"/>
            </w14:solidFill>
          </w14:textFill>
        </w:rPr>
        <w:t>3966.04</w:t>
      </w:r>
      <w:r>
        <w:rPr>
          <w:rFonts w:hint="eastAsia" w:ascii="仿宋" w:hAnsi="仿宋" w:eastAsia="仿宋"/>
          <w:color w:val="000000" w:themeColor="text1"/>
          <w:sz w:val="32"/>
          <w:szCs w:val="32"/>
          <w14:textFill>
            <w14:solidFill>
              <w14:schemeClr w14:val="tx1"/>
            </w14:solidFill>
          </w14:textFill>
        </w:rPr>
        <w:t>万元。其中：基本支出</w:t>
      </w:r>
      <w:r>
        <w:rPr>
          <w:rFonts w:hint="eastAsia" w:ascii="仿宋" w:hAnsi="仿宋" w:eastAsia="仿宋"/>
          <w:color w:val="000000" w:themeColor="text1"/>
          <w:sz w:val="32"/>
          <w:szCs w:val="32"/>
          <w:lang w:val="en-US" w:eastAsia="zh-CN"/>
          <w14:textFill>
            <w14:solidFill>
              <w14:schemeClr w14:val="tx1"/>
            </w14:solidFill>
          </w14:textFill>
        </w:rPr>
        <w:t>1335.88</w:t>
      </w:r>
      <w:r>
        <w:rPr>
          <w:rFonts w:hint="eastAsia" w:ascii="仿宋" w:hAnsi="仿宋" w:eastAsia="仿宋"/>
          <w:color w:val="000000" w:themeColor="text1"/>
          <w:sz w:val="32"/>
          <w:szCs w:val="32"/>
          <w14:textFill>
            <w14:solidFill>
              <w14:schemeClr w14:val="tx1"/>
            </w14:solidFill>
          </w14:textFill>
        </w:rPr>
        <w:t>万元，占比</w:t>
      </w:r>
      <w:r>
        <w:rPr>
          <w:rFonts w:hint="eastAsia" w:ascii="仿宋" w:hAnsi="仿宋" w:eastAsia="仿宋"/>
          <w:color w:val="000000" w:themeColor="text1"/>
          <w:sz w:val="32"/>
          <w:szCs w:val="32"/>
          <w:lang w:val="en-US" w:eastAsia="zh-CN"/>
          <w14:textFill>
            <w14:solidFill>
              <w14:schemeClr w14:val="tx1"/>
            </w14:solidFill>
          </w14:textFill>
        </w:rPr>
        <w:t>33</w:t>
      </w:r>
      <w:r>
        <w:rPr>
          <w:rFonts w:hint="eastAsia" w:ascii="仿宋" w:hAnsi="仿宋" w:eastAsia="仿宋"/>
          <w:color w:val="000000" w:themeColor="text1"/>
          <w:sz w:val="32"/>
          <w:szCs w:val="32"/>
          <w14:textFill>
            <w14:solidFill>
              <w14:schemeClr w14:val="tx1"/>
            </w14:solidFill>
          </w14:textFill>
        </w:rPr>
        <w:t>%，项目支出</w:t>
      </w:r>
      <w:r>
        <w:rPr>
          <w:rFonts w:hint="eastAsia" w:ascii="仿宋" w:hAnsi="仿宋" w:eastAsia="仿宋"/>
          <w:color w:val="000000" w:themeColor="text1"/>
          <w:sz w:val="32"/>
          <w:szCs w:val="32"/>
          <w:lang w:val="en-US" w:eastAsia="zh-CN"/>
          <w14:textFill>
            <w14:solidFill>
              <w14:schemeClr w14:val="tx1"/>
            </w14:solidFill>
          </w14:textFill>
        </w:rPr>
        <w:t>2630.16</w:t>
      </w:r>
      <w:r>
        <w:rPr>
          <w:rFonts w:hint="eastAsia" w:ascii="仿宋" w:hAnsi="仿宋" w:eastAsia="仿宋"/>
          <w:color w:val="000000" w:themeColor="text1"/>
          <w:sz w:val="32"/>
          <w:szCs w:val="32"/>
          <w14:textFill>
            <w14:solidFill>
              <w14:schemeClr w14:val="tx1"/>
            </w14:solidFill>
          </w14:textFill>
        </w:rPr>
        <w:t>万元，占比</w:t>
      </w:r>
      <w:r>
        <w:rPr>
          <w:rFonts w:hint="eastAsia" w:ascii="仿宋" w:hAnsi="仿宋" w:eastAsia="仿宋"/>
          <w:color w:val="000000" w:themeColor="text1"/>
          <w:sz w:val="32"/>
          <w:szCs w:val="32"/>
          <w:lang w:val="en-US" w:eastAsia="zh-CN"/>
          <w14:textFill>
            <w14:solidFill>
              <w14:schemeClr w14:val="tx1"/>
            </w14:solidFill>
          </w14:textFill>
        </w:rPr>
        <w:t>67</w:t>
      </w:r>
      <w:r>
        <w:rPr>
          <w:rFonts w:hint="eastAsia" w:ascii="仿宋" w:hAnsi="仿宋" w:eastAsia="仿宋"/>
          <w:color w:val="000000" w:themeColor="text1"/>
          <w:sz w:val="32"/>
          <w:szCs w:val="32"/>
          <w14:textFill>
            <w14:solidFill>
              <w14:schemeClr w14:val="tx1"/>
            </w14:solidFill>
          </w14:textFill>
        </w:rPr>
        <w:t>%。</w:t>
      </w:r>
    </w:p>
    <w:p>
      <w:pPr>
        <w:ind w:firstLine="640" w:firstLineChars="200"/>
        <w:rPr>
          <w:rFonts w:hint="default" w:ascii="仿宋" w:hAnsi="仿宋" w:eastAsia="仿宋"/>
          <w:color w:val="000000" w:themeColor="text1"/>
          <w:sz w:val="32"/>
          <w:szCs w:val="32"/>
          <w:lang w:val="en-US" w:eastAsia="zh-CN"/>
          <w14:textFill>
            <w14:solidFill>
              <w14:schemeClr w14:val="tx1"/>
            </w14:solidFill>
          </w14:textFill>
        </w:rPr>
      </w:pPr>
      <w:bookmarkStart w:id="0" w:name="_GoBack"/>
      <w:bookmarkEnd w:id="0"/>
      <w:r>
        <w:rPr>
          <w:rFonts w:hint="eastAsia" w:ascii="仿宋" w:hAnsi="仿宋" w:eastAsia="仿宋"/>
          <w:color w:val="000000" w:themeColor="text1"/>
          <w:sz w:val="32"/>
          <w:szCs w:val="32"/>
          <w14:textFill>
            <w14:solidFill>
              <w14:schemeClr w14:val="tx1"/>
            </w14:solidFill>
          </w14:textFill>
        </w:rPr>
        <w:t>20</w:t>
      </w:r>
      <w:r>
        <w:rPr>
          <w:rFonts w:hint="eastAsia" w:ascii="仿宋" w:hAnsi="仿宋" w:eastAsia="仿宋"/>
          <w:color w:val="000000" w:themeColor="text1"/>
          <w:sz w:val="32"/>
          <w:szCs w:val="32"/>
          <w:lang w:val="en-US" w:eastAsia="zh-CN"/>
          <w14:textFill>
            <w14:solidFill>
              <w14:schemeClr w14:val="tx1"/>
            </w14:solidFill>
          </w14:textFill>
        </w:rPr>
        <w:t>20</w:t>
      </w:r>
      <w:r>
        <w:rPr>
          <w:rFonts w:hint="eastAsia" w:ascii="仿宋" w:hAnsi="仿宋" w:eastAsia="仿宋"/>
          <w:color w:val="000000" w:themeColor="text1"/>
          <w:sz w:val="32"/>
          <w:szCs w:val="32"/>
          <w14:textFill>
            <w14:solidFill>
              <w14:schemeClr w14:val="tx1"/>
            </w14:solidFill>
          </w14:textFill>
        </w:rPr>
        <w:t>年本部门财政预算</w:t>
      </w:r>
      <w:r>
        <w:rPr>
          <w:rFonts w:hint="eastAsia" w:ascii="仿宋" w:hAnsi="仿宋" w:eastAsia="仿宋" w:cs="仿宋"/>
          <w:sz w:val="32"/>
          <w:szCs w:val="32"/>
          <w:lang w:val="en-US" w:eastAsia="zh-CN"/>
        </w:rPr>
        <w:t>收入和支出均</w:t>
      </w:r>
      <w:r>
        <w:rPr>
          <w:rFonts w:hint="eastAsia" w:ascii="仿宋" w:hAnsi="仿宋" w:eastAsia="仿宋"/>
          <w:color w:val="000000" w:themeColor="text1"/>
          <w:sz w:val="32"/>
          <w:szCs w:val="32"/>
          <w14:textFill>
            <w14:solidFill>
              <w14:schemeClr w14:val="tx1"/>
            </w14:solidFill>
          </w14:textFill>
        </w:rPr>
        <w:t>较上年</w:t>
      </w:r>
      <w:r>
        <w:rPr>
          <w:rFonts w:hint="eastAsia" w:ascii="仿宋" w:hAnsi="仿宋" w:eastAsia="仿宋"/>
          <w:color w:val="000000" w:themeColor="text1"/>
          <w:sz w:val="32"/>
          <w:szCs w:val="32"/>
          <w:lang w:eastAsia="zh-CN"/>
          <w14:textFill>
            <w14:solidFill>
              <w14:schemeClr w14:val="tx1"/>
            </w14:solidFill>
          </w14:textFill>
        </w:rPr>
        <w:t>减少</w:t>
      </w:r>
      <w:r>
        <w:rPr>
          <w:rFonts w:hint="eastAsia" w:ascii="仿宋" w:hAnsi="仿宋" w:eastAsia="仿宋"/>
          <w:color w:val="000000" w:themeColor="text1"/>
          <w:sz w:val="32"/>
          <w:szCs w:val="32"/>
          <w:lang w:val="en-US" w:eastAsia="zh-CN"/>
          <w14:textFill>
            <w14:solidFill>
              <w14:schemeClr w14:val="tx1"/>
            </w14:solidFill>
          </w14:textFill>
        </w:rPr>
        <w:t>105.92</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lang w:eastAsia="zh-CN"/>
          <w14:textFill>
            <w14:solidFill>
              <w14:schemeClr w14:val="tx1"/>
            </w14:solidFill>
          </w14:textFill>
        </w:rPr>
        <w:t>减少</w:t>
      </w:r>
      <w:r>
        <w:rPr>
          <w:rFonts w:hint="eastAsia" w:ascii="仿宋" w:hAnsi="仿宋" w:eastAsia="仿宋"/>
          <w:color w:val="000000" w:themeColor="text1"/>
          <w:sz w:val="32"/>
          <w:szCs w:val="32"/>
          <w:lang w:val="en-US" w:eastAsia="zh-CN"/>
          <w14:textFill>
            <w14:solidFill>
              <w14:schemeClr w14:val="tx1"/>
            </w14:solidFill>
          </w14:textFill>
        </w:rPr>
        <w:t>2.6</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。主要原因是</w:t>
      </w:r>
      <w:r>
        <w:rPr>
          <w:rFonts w:hint="eastAsia" w:ascii="仿宋" w:hAnsi="仿宋" w:eastAsia="仿宋"/>
          <w:color w:val="000000" w:themeColor="text1"/>
          <w:sz w:val="32"/>
          <w:szCs w:val="32"/>
          <w:lang w:eastAsia="zh-CN"/>
          <w14:textFill>
            <w14:solidFill>
              <w14:schemeClr w14:val="tx1"/>
            </w14:solidFill>
          </w14:textFill>
        </w:rPr>
        <w:t>用于基建项目的资金投入相应减少，故</w:t>
      </w:r>
      <w:r>
        <w:rPr>
          <w:rFonts w:hint="eastAsia" w:ascii="仿宋" w:hAnsi="仿宋" w:eastAsia="仿宋"/>
          <w:color w:val="000000" w:themeColor="text1"/>
          <w:sz w:val="32"/>
          <w:szCs w:val="32"/>
          <w:lang w:val="en-US" w:eastAsia="zh-CN"/>
          <w14:textFill>
            <w14:solidFill>
              <w14:schemeClr w14:val="tx1"/>
            </w14:solidFill>
          </w14:textFill>
        </w:rPr>
        <w:t>2020年安排的项目支出也就减少。</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三、一般公共预算基本支出情况</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2020年本部门一般公共预算基本支出</w:t>
      </w:r>
      <w:r>
        <w:rPr>
          <w:rFonts w:hint="eastAsia" w:ascii="仿宋" w:hAnsi="仿宋" w:eastAsia="仿宋"/>
          <w:color w:val="000000" w:themeColor="text1"/>
          <w:szCs w:val="32"/>
          <w:lang w:val="en-US" w:eastAsia="zh-CN"/>
          <w14:textFill>
            <w14:solidFill>
              <w14:schemeClr w14:val="tx1"/>
            </w14:solidFill>
          </w14:textFill>
        </w:rPr>
        <w:t>1335.88</w:t>
      </w:r>
      <w:r>
        <w:rPr>
          <w:rFonts w:hint="eastAsia" w:ascii="仿宋" w:hAnsi="仿宋" w:eastAsia="仿宋"/>
          <w:color w:val="000000" w:themeColor="text1"/>
          <w:szCs w:val="32"/>
          <w14:textFill>
            <w14:solidFill>
              <w14:schemeClr w14:val="tx1"/>
            </w14:solidFill>
          </w14:textFill>
        </w:rPr>
        <w:t>万元，其中：人员经费</w:t>
      </w:r>
      <w:r>
        <w:rPr>
          <w:rFonts w:hint="eastAsia" w:ascii="仿宋" w:hAnsi="仿宋" w:eastAsia="仿宋"/>
          <w:color w:val="000000" w:themeColor="text1"/>
          <w:szCs w:val="32"/>
          <w:lang w:val="en-US" w:eastAsia="zh-CN"/>
          <w14:textFill>
            <w14:solidFill>
              <w14:schemeClr w14:val="tx1"/>
            </w14:solidFill>
          </w14:textFill>
        </w:rPr>
        <w:t>1304.8</w:t>
      </w:r>
      <w:r>
        <w:rPr>
          <w:rFonts w:hint="eastAsia" w:ascii="仿宋" w:hAnsi="仿宋" w:eastAsia="仿宋"/>
          <w:color w:val="000000" w:themeColor="text1"/>
          <w:szCs w:val="32"/>
          <w14:textFill>
            <w14:solidFill>
              <w14:schemeClr w14:val="tx1"/>
            </w14:solidFill>
          </w14:textFill>
        </w:rPr>
        <w:t>万元，主要包括：基本工资、津贴补贴、绩效工资、机关事业单位基本养老保险缴费、医疗保险缴费、其他社会保障缴费、住房公积金、退休费、</w:t>
      </w:r>
      <w:r>
        <w:rPr>
          <w:rFonts w:hint="eastAsia" w:ascii="仿宋" w:hAnsi="仿宋" w:eastAsia="仿宋"/>
          <w:color w:val="000000" w:themeColor="text1"/>
          <w:szCs w:val="32"/>
          <w:lang w:val="en-US" w:eastAsia="zh-CN"/>
          <w14:textFill>
            <w14:solidFill>
              <w14:schemeClr w14:val="tx1"/>
            </w14:solidFill>
          </w14:textFill>
        </w:rPr>
        <w:t>抚恤金</w:t>
      </w:r>
      <w:r>
        <w:rPr>
          <w:rFonts w:hint="eastAsia" w:ascii="仿宋" w:hAnsi="仿宋" w:eastAsia="仿宋"/>
          <w:color w:val="000000" w:themeColor="text1"/>
          <w:szCs w:val="32"/>
          <w14:textFill>
            <w14:solidFill>
              <w14:schemeClr w14:val="tx1"/>
            </w14:solidFill>
          </w14:textFill>
        </w:rPr>
        <w:t>；公用经费</w:t>
      </w:r>
      <w:r>
        <w:rPr>
          <w:rFonts w:hint="eastAsia" w:ascii="仿宋" w:hAnsi="仿宋" w:eastAsia="仿宋"/>
          <w:color w:val="000000" w:themeColor="text1"/>
          <w:szCs w:val="32"/>
          <w:lang w:val="en-US" w:eastAsia="zh-CN"/>
          <w14:textFill>
            <w14:solidFill>
              <w14:schemeClr w14:val="tx1"/>
            </w14:solidFill>
          </w14:textFill>
        </w:rPr>
        <w:t>31.8</w:t>
      </w:r>
      <w:r>
        <w:rPr>
          <w:rFonts w:hint="eastAsia" w:ascii="仿宋" w:hAnsi="仿宋" w:eastAsia="仿宋"/>
          <w:color w:val="000000" w:themeColor="text1"/>
          <w:szCs w:val="32"/>
          <w14:textFill>
            <w14:solidFill>
              <w14:schemeClr w14:val="tx1"/>
            </w14:solidFill>
          </w14:textFill>
        </w:rPr>
        <w:t>万元，主要包括：办公费、培训费、公务用车运行维护费、其他商品和服务支出</w:t>
      </w:r>
      <w:r>
        <w:rPr>
          <w:rFonts w:hint="eastAsia" w:ascii="仿宋" w:hAnsi="仿宋" w:eastAsia="仿宋"/>
          <w:color w:val="000000" w:themeColor="text1"/>
          <w:szCs w:val="32"/>
          <w:lang w:val="en-US" w:eastAsia="zh-CN"/>
          <w14:textFill>
            <w14:solidFill>
              <w14:schemeClr w14:val="tx1"/>
            </w14:solidFill>
          </w14:textFill>
        </w:rPr>
        <w:t>等</w:t>
      </w:r>
      <w:r>
        <w:rPr>
          <w:rFonts w:hint="eastAsia" w:ascii="仿宋" w:hAnsi="仿宋" w:eastAsia="仿宋"/>
          <w:color w:val="000000" w:themeColor="text1"/>
          <w:szCs w:val="32"/>
          <w14:textFill>
            <w14:solidFill>
              <w14:schemeClr w14:val="tx1"/>
            </w14:solidFill>
          </w14:textFill>
        </w:rPr>
        <w:t>。</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四、机关运行经费安排情况</w:t>
      </w:r>
    </w:p>
    <w:p>
      <w:pPr>
        <w:ind w:firstLine="640" w:firstLineChars="200"/>
        <w:rPr>
          <w:rFonts w:ascii="仿宋" w:hAnsi="仿宋" w:eastAsia="仿宋"/>
          <w:color w:val="000000" w:themeColor="text1"/>
          <w:szCs w:val="32"/>
          <w14:textFill>
            <w14:solidFill>
              <w14:schemeClr w14:val="tx1"/>
            </w14:solidFill>
          </w14:textFill>
        </w:rPr>
      </w:pPr>
      <w:r>
        <w:rPr>
          <w:rFonts w:ascii="仿宋" w:hAnsi="仿宋" w:eastAsia="仿宋"/>
          <w:color w:val="000000" w:themeColor="text1"/>
          <w:szCs w:val="32"/>
          <w14:textFill>
            <w14:solidFill>
              <w14:schemeClr w14:val="tx1"/>
            </w14:solidFill>
          </w14:textFill>
        </w:rPr>
        <w:t>20</w:t>
      </w:r>
      <w:r>
        <w:rPr>
          <w:rFonts w:hint="eastAsia" w:ascii="仿宋" w:hAnsi="仿宋" w:eastAsia="仿宋"/>
          <w:color w:val="000000" w:themeColor="text1"/>
          <w:szCs w:val="32"/>
          <w14:textFill>
            <w14:solidFill>
              <w14:schemeClr w14:val="tx1"/>
            </w14:solidFill>
          </w14:textFill>
        </w:rPr>
        <w:t>20年本部门机关运行经费安排</w:t>
      </w:r>
      <w:r>
        <w:rPr>
          <w:rFonts w:hint="eastAsia" w:ascii="仿宋" w:hAnsi="仿宋" w:eastAsia="仿宋"/>
          <w:color w:val="000000" w:themeColor="text1"/>
          <w:szCs w:val="32"/>
          <w:lang w:val="en-US" w:eastAsia="zh-CN"/>
          <w14:textFill>
            <w14:solidFill>
              <w14:schemeClr w14:val="tx1"/>
            </w14:solidFill>
          </w14:textFill>
        </w:rPr>
        <w:t>31.8</w:t>
      </w:r>
      <w:r>
        <w:rPr>
          <w:rFonts w:hint="eastAsia" w:ascii="仿宋" w:hAnsi="仿宋" w:eastAsia="仿宋"/>
          <w:color w:val="000000" w:themeColor="text1"/>
          <w:szCs w:val="32"/>
          <w14:textFill>
            <w14:solidFill>
              <w14:schemeClr w14:val="tx1"/>
            </w14:solidFill>
          </w14:textFill>
        </w:rPr>
        <w:t>万元，主要用于办公费、培训费、公务用车运行维护费、其他商品和服务支出</w:t>
      </w:r>
      <w:r>
        <w:rPr>
          <w:rFonts w:hint="eastAsia" w:ascii="仿宋" w:hAnsi="仿宋" w:eastAsia="仿宋"/>
          <w:color w:val="000000" w:themeColor="text1"/>
          <w:szCs w:val="32"/>
          <w:lang w:val="en-US" w:eastAsia="zh-CN"/>
          <w14:textFill>
            <w14:solidFill>
              <w14:schemeClr w14:val="tx1"/>
            </w14:solidFill>
          </w14:textFill>
        </w:rPr>
        <w:t>等方面</w:t>
      </w:r>
      <w:r>
        <w:rPr>
          <w:rFonts w:hint="eastAsia" w:ascii="仿宋" w:hAnsi="仿宋" w:eastAsia="仿宋"/>
          <w:color w:val="000000" w:themeColor="text1"/>
          <w:szCs w:val="32"/>
          <w14:textFill>
            <w14:solidFill>
              <w14:schemeClr w14:val="tx1"/>
            </w14:solidFill>
          </w14:textFill>
        </w:rPr>
        <w:t>，比上年减少</w:t>
      </w:r>
      <w:r>
        <w:rPr>
          <w:rFonts w:hint="eastAsia" w:ascii="仿宋" w:hAnsi="仿宋" w:eastAsia="仿宋"/>
          <w:color w:val="000000" w:themeColor="text1"/>
          <w:szCs w:val="32"/>
          <w:lang w:val="en-US" w:eastAsia="zh-CN"/>
          <w14:textFill>
            <w14:solidFill>
              <w14:schemeClr w14:val="tx1"/>
            </w14:solidFill>
          </w14:textFill>
        </w:rPr>
        <w:t>0.4</w:t>
      </w:r>
      <w:r>
        <w:rPr>
          <w:rFonts w:hint="eastAsia" w:ascii="仿宋" w:hAnsi="仿宋" w:eastAsia="仿宋"/>
          <w:color w:val="000000" w:themeColor="text1"/>
          <w:szCs w:val="32"/>
          <w14:textFill>
            <w14:solidFill>
              <w14:schemeClr w14:val="tx1"/>
            </w14:solidFill>
          </w14:textFill>
        </w:rPr>
        <w:t>万元，减少</w:t>
      </w:r>
      <w:r>
        <w:rPr>
          <w:rFonts w:hint="eastAsia" w:ascii="仿宋" w:hAnsi="仿宋" w:eastAsia="仿宋"/>
          <w:color w:val="000000" w:themeColor="text1"/>
          <w:szCs w:val="32"/>
          <w:lang w:val="en-US" w:eastAsia="zh-CN"/>
          <w14:textFill>
            <w14:solidFill>
              <w14:schemeClr w14:val="tx1"/>
            </w14:solidFill>
          </w14:textFill>
        </w:rPr>
        <w:t>1.24</w:t>
      </w:r>
      <w:r>
        <w:rPr>
          <w:rFonts w:hint="eastAsia" w:ascii="仿宋" w:hAnsi="仿宋" w:eastAsia="仿宋"/>
          <w:color w:val="000000" w:themeColor="text1"/>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主要原因是深入贯彻落实中央八项规定和厉行节约有关精神。</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五、“三公”经费安排情况</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20</w:t>
      </w:r>
      <w:r>
        <w:rPr>
          <w:rFonts w:hint="eastAsia" w:ascii="仿宋" w:hAnsi="仿宋" w:eastAsia="仿宋"/>
          <w:color w:val="000000" w:themeColor="text1"/>
          <w:sz w:val="32"/>
          <w:szCs w:val="32"/>
          <w:lang w:val="en-US" w:eastAsia="zh-CN"/>
          <w14:textFill>
            <w14:solidFill>
              <w14:schemeClr w14:val="tx1"/>
            </w14:solidFill>
          </w14:textFill>
        </w:rPr>
        <w:t>20</w:t>
      </w:r>
      <w:r>
        <w:rPr>
          <w:rFonts w:hint="eastAsia" w:ascii="仿宋" w:hAnsi="仿宋" w:eastAsia="仿宋"/>
          <w:color w:val="000000" w:themeColor="text1"/>
          <w:sz w:val="32"/>
          <w:szCs w:val="32"/>
          <w14:textFill>
            <w14:solidFill>
              <w14:schemeClr w14:val="tx1"/>
            </w14:solidFill>
          </w14:textFill>
        </w:rPr>
        <w:t>年本部门“三公”经费预算</w:t>
      </w:r>
      <w:r>
        <w:rPr>
          <w:rFonts w:hint="eastAsia" w:ascii="仿宋" w:hAnsi="仿宋" w:eastAsia="仿宋"/>
          <w:color w:val="000000" w:themeColor="text1"/>
          <w:sz w:val="32"/>
          <w:szCs w:val="32"/>
          <w:lang w:val="en-US" w:eastAsia="zh-CN"/>
          <w14:textFill>
            <w14:solidFill>
              <w14:schemeClr w14:val="tx1"/>
            </w14:solidFill>
          </w14:textFill>
        </w:rPr>
        <w:t>5.8</w:t>
      </w:r>
      <w:r>
        <w:rPr>
          <w:rFonts w:hint="eastAsia" w:ascii="仿宋" w:hAnsi="仿宋" w:eastAsia="仿宋"/>
          <w:color w:val="000000" w:themeColor="text1"/>
          <w:sz w:val="32"/>
          <w:szCs w:val="32"/>
          <w14:textFill>
            <w14:solidFill>
              <w14:schemeClr w14:val="tx1"/>
            </w14:solidFill>
          </w14:textFill>
        </w:rPr>
        <w:t>万元，较上年减少</w:t>
      </w:r>
      <w:r>
        <w:rPr>
          <w:rFonts w:hint="eastAsia" w:ascii="仿宋" w:hAnsi="仿宋" w:eastAsia="仿宋"/>
          <w:color w:val="000000" w:themeColor="text1"/>
          <w:sz w:val="32"/>
          <w:szCs w:val="32"/>
          <w:lang w:val="en-US" w:eastAsia="zh-CN"/>
          <w14:textFill>
            <w14:solidFill>
              <w14:schemeClr w14:val="tx1"/>
            </w14:solidFill>
          </w14:textFill>
        </w:rPr>
        <w:t>17.34</w:t>
      </w:r>
      <w:r>
        <w:rPr>
          <w:rFonts w:hint="eastAsia" w:ascii="仿宋" w:hAnsi="仿宋" w:eastAsia="仿宋"/>
          <w:color w:val="000000" w:themeColor="text1"/>
          <w:sz w:val="32"/>
          <w:szCs w:val="32"/>
          <w14:textFill>
            <w14:solidFill>
              <w14:schemeClr w14:val="tx1"/>
            </w14:solidFill>
          </w14:textFill>
        </w:rPr>
        <w:t>万元，主要原因是由于公车改革后，公车运行数量减少，运行维护成本降低，以及严格执行相关规定，厉行勤俭节约，压减“三公”经费。</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1.因公出国（境）费0万元；</w:t>
      </w:r>
    </w:p>
    <w:p>
      <w:pPr>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2.公务用车购置及运行费</w:t>
      </w:r>
      <w:r>
        <w:rPr>
          <w:rFonts w:hint="eastAsia" w:ascii="仿宋" w:hAnsi="仿宋" w:eastAsia="仿宋"/>
          <w:color w:val="000000" w:themeColor="text1"/>
          <w:sz w:val="32"/>
          <w:szCs w:val="32"/>
          <w:lang w:val="en-US" w:eastAsia="zh-CN"/>
          <w14:textFill>
            <w14:solidFill>
              <w14:schemeClr w14:val="tx1"/>
            </w14:solidFill>
          </w14:textFill>
        </w:rPr>
        <w:t>5.8</w:t>
      </w:r>
      <w:r>
        <w:rPr>
          <w:rFonts w:hint="eastAsia" w:ascii="仿宋" w:hAnsi="仿宋" w:eastAsia="仿宋"/>
          <w:color w:val="000000" w:themeColor="text1"/>
          <w:sz w:val="32"/>
          <w:szCs w:val="32"/>
          <w14:textFill>
            <w14:solidFill>
              <w14:schemeClr w14:val="tx1"/>
            </w14:solidFill>
          </w14:textFill>
        </w:rPr>
        <w:t>万元，其中：公务用车购置</w:t>
      </w:r>
      <w:r>
        <w:rPr>
          <w:rFonts w:hint="eastAsia" w:ascii="仿宋" w:hAnsi="仿宋" w:eastAsia="仿宋"/>
          <w:color w:val="000000" w:themeColor="text1"/>
          <w:sz w:val="32"/>
          <w:szCs w:val="32"/>
          <w:lang w:val="en-US" w:eastAsia="zh-CN"/>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万元，公务用车运行费</w:t>
      </w:r>
      <w:r>
        <w:rPr>
          <w:rFonts w:hint="eastAsia" w:ascii="仿宋" w:hAnsi="仿宋" w:eastAsia="仿宋"/>
          <w:color w:val="000000" w:themeColor="text1"/>
          <w:sz w:val="32"/>
          <w:szCs w:val="32"/>
          <w:lang w:val="en-US" w:eastAsia="zh-CN"/>
          <w14:textFill>
            <w14:solidFill>
              <w14:schemeClr w14:val="tx1"/>
            </w14:solidFill>
          </w14:textFill>
        </w:rPr>
        <w:t>5.8</w:t>
      </w:r>
      <w:r>
        <w:rPr>
          <w:rFonts w:hint="eastAsia" w:ascii="仿宋" w:hAnsi="仿宋" w:eastAsia="仿宋"/>
          <w:color w:val="000000" w:themeColor="text1"/>
          <w:sz w:val="32"/>
          <w:szCs w:val="32"/>
          <w14:textFill>
            <w14:solidFill>
              <w14:schemeClr w14:val="tx1"/>
            </w14:solidFill>
          </w14:textFill>
        </w:rPr>
        <w:t>万元。</w:t>
      </w:r>
    </w:p>
    <w:p>
      <w:pPr>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 xml:space="preserve">    3.公务接待费0万元。</w:t>
      </w:r>
    </w:p>
    <w:p>
      <w:pPr>
        <w:ind w:firstLine="640" w:firstLineChars="200"/>
        <w:rPr>
          <w:rFonts w:ascii="仿宋" w:hAnsi="仿宋" w:eastAsia="仿宋"/>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六、政府采购安排情况</w:t>
      </w:r>
    </w:p>
    <w:p>
      <w:pPr>
        <w:ind w:firstLine="640" w:firstLineChars="200"/>
        <w:rPr>
          <w:rFonts w:ascii="仿宋" w:hAnsi="仿宋" w:eastAsia="仿宋"/>
          <w:color w:val="000000" w:themeColor="text1"/>
          <w:szCs w:val="32"/>
          <w14:textFill>
            <w14:solidFill>
              <w14:schemeClr w14:val="tx1"/>
            </w14:solidFill>
          </w14:textFill>
        </w:rPr>
      </w:pPr>
      <w:r>
        <w:rPr>
          <w:rFonts w:ascii="仿宋" w:hAnsi="仿宋" w:eastAsia="仿宋"/>
          <w:color w:val="000000" w:themeColor="text1"/>
          <w:szCs w:val="32"/>
          <w14:textFill>
            <w14:solidFill>
              <w14:schemeClr w14:val="tx1"/>
            </w14:solidFill>
          </w14:textFill>
        </w:rPr>
        <w:t>20</w:t>
      </w:r>
      <w:r>
        <w:rPr>
          <w:rFonts w:hint="eastAsia" w:ascii="仿宋" w:hAnsi="仿宋" w:eastAsia="仿宋"/>
          <w:color w:val="000000" w:themeColor="text1"/>
          <w:szCs w:val="32"/>
          <w:lang w:val="en-US" w:eastAsia="zh-CN"/>
          <w14:textFill>
            <w14:solidFill>
              <w14:schemeClr w14:val="tx1"/>
            </w14:solidFill>
          </w14:textFill>
        </w:rPr>
        <w:t>20</w:t>
      </w:r>
      <w:r>
        <w:rPr>
          <w:rFonts w:hint="eastAsia" w:ascii="仿宋" w:hAnsi="仿宋" w:eastAsia="仿宋"/>
          <w:color w:val="000000" w:themeColor="text1"/>
          <w:szCs w:val="32"/>
          <w14:textFill>
            <w14:solidFill>
              <w14:schemeClr w14:val="tx1"/>
            </w14:solidFill>
          </w14:textFill>
        </w:rPr>
        <w:t>年本部门无政府采购预算安排。</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七、政府性基金预算安排情况</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本部门无政府性基金预算收支安排，较上年无变动。</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八、</w:t>
      </w:r>
      <w:r>
        <w:rPr>
          <w:rFonts w:ascii="黑体" w:hAnsi="黑体" w:eastAsia="黑体"/>
          <w:color w:val="000000" w:themeColor="text1"/>
          <w:szCs w:val="32"/>
          <w14:textFill>
            <w14:solidFill>
              <w14:schemeClr w14:val="tx1"/>
            </w14:solidFill>
          </w14:textFill>
        </w:rPr>
        <w:t>国有资产占用情况</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截止201</w:t>
      </w:r>
      <w:r>
        <w:rPr>
          <w:rFonts w:hint="eastAsia" w:ascii="仿宋" w:hAnsi="仿宋" w:eastAsia="仿宋"/>
          <w:color w:val="000000" w:themeColor="text1"/>
          <w:sz w:val="32"/>
          <w:szCs w:val="32"/>
          <w:lang w:val="en-US" w:eastAsia="zh-CN"/>
          <w14:textFill>
            <w14:solidFill>
              <w14:schemeClr w14:val="tx1"/>
            </w14:solidFill>
          </w14:textFill>
        </w:rPr>
        <w:t>9</w:t>
      </w:r>
      <w:r>
        <w:rPr>
          <w:rFonts w:hint="eastAsia" w:ascii="仿宋" w:hAnsi="仿宋" w:eastAsia="仿宋"/>
          <w:color w:val="000000" w:themeColor="text1"/>
          <w:sz w:val="32"/>
          <w:szCs w:val="32"/>
          <w14:textFill>
            <w14:solidFill>
              <w14:schemeClr w14:val="tx1"/>
            </w14:solidFill>
          </w14:textFill>
        </w:rPr>
        <w:t>年末，本部门共有车辆</w:t>
      </w:r>
      <w:r>
        <w:rPr>
          <w:rFonts w:hint="eastAsia" w:ascii="仿宋" w:hAnsi="仿宋" w:eastAsia="仿宋"/>
          <w:color w:val="000000" w:themeColor="text1"/>
          <w:sz w:val="32"/>
          <w:szCs w:val="32"/>
          <w:lang w:val="en-US" w:eastAsia="zh-CN"/>
          <w14:textFill>
            <w14:solidFill>
              <w14:schemeClr w14:val="tx1"/>
            </w14:solidFill>
          </w14:textFill>
        </w:rPr>
        <w:t>22</w:t>
      </w:r>
      <w:r>
        <w:rPr>
          <w:rFonts w:hint="eastAsia" w:ascii="仿宋" w:hAnsi="仿宋" w:eastAsia="仿宋"/>
          <w:color w:val="000000" w:themeColor="text1"/>
          <w:sz w:val="32"/>
          <w:szCs w:val="32"/>
          <w14:textFill>
            <w14:solidFill>
              <w14:schemeClr w14:val="tx1"/>
            </w14:solidFill>
          </w14:textFill>
        </w:rPr>
        <w:t>辆，其中</w:t>
      </w:r>
      <w:r>
        <w:rPr>
          <w:rFonts w:hint="eastAsia" w:ascii="仿宋" w:hAnsi="仿宋" w:eastAsia="仿宋"/>
          <w:color w:val="000000" w:themeColor="text1"/>
          <w:sz w:val="32"/>
          <w:szCs w:val="32"/>
          <w:lang w:eastAsia="zh-CN"/>
          <w14:textFill>
            <w14:solidFill>
              <w14:schemeClr w14:val="tx1"/>
            </w14:solidFill>
          </w14:textFill>
        </w:rPr>
        <w:t>一</w:t>
      </w:r>
      <w:r>
        <w:rPr>
          <w:rFonts w:hint="eastAsia" w:ascii="仿宋" w:hAnsi="仿宋" w:eastAsia="仿宋"/>
          <w:color w:val="000000" w:themeColor="text1"/>
          <w:sz w:val="32"/>
          <w:szCs w:val="32"/>
          <w14:textFill>
            <w14:solidFill>
              <w14:schemeClr w14:val="tx1"/>
            </w14:solidFill>
          </w14:textFill>
        </w:rPr>
        <w:t>般执法执勤用车</w:t>
      </w:r>
      <w:r>
        <w:rPr>
          <w:rFonts w:hint="eastAsia" w:ascii="仿宋" w:hAnsi="仿宋" w:eastAsia="仿宋"/>
          <w:color w:val="000000" w:themeColor="text1"/>
          <w:sz w:val="32"/>
          <w:szCs w:val="32"/>
          <w:lang w:val="en-US" w:eastAsia="zh-CN"/>
          <w14:textFill>
            <w14:solidFill>
              <w14:schemeClr w14:val="tx1"/>
            </w14:solidFill>
          </w14:textFill>
        </w:rPr>
        <w:t>20</w:t>
      </w:r>
      <w:r>
        <w:rPr>
          <w:rFonts w:hint="eastAsia" w:ascii="仿宋" w:hAnsi="仿宋" w:eastAsia="仿宋"/>
          <w:color w:val="000000" w:themeColor="text1"/>
          <w:sz w:val="32"/>
          <w:szCs w:val="32"/>
          <w14:textFill>
            <w14:solidFill>
              <w14:schemeClr w14:val="tx1"/>
            </w14:solidFill>
          </w14:textFill>
        </w:rPr>
        <w:t>辆、特种专业技术用车</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辆；单位价值</w:t>
      </w:r>
      <w:r>
        <w:rPr>
          <w:rFonts w:ascii="仿宋" w:hAnsi="仿宋" w:eastAsia="仿宋"/>
          <w:color w:val="000000" w:themeColor="text1"/>
          <w:sz w:val="32"/>
          <w:szCs w:val="32"/>
          <w14:textFill>
            <w14:solidFill>
              <w14:schemeClr w14:val="tx1"/>
            </w14:solidFill>
          </w14:textFill>
        </w:rPr>
        <w:t>50</w:t>
      </w:r>
      <w:r>
        <w:rPr>
          <w:rFonts w:hint="eastAsia" w:ascii="仿宋" w:hAnsi="仿宋" w:eastAsia="仿宋"/>
          <w:color w:val="000000" w:themeColor="text1"/>
          <w:sz w:val="32"/>
          <w:szCs w:val="32"/>
          <w14:textFill>
            <w14:solidFill>
              <w14:schemeClr w14:val="tx1"/>
            </w14:solidFill>
          </w14:textFill>
        </w:rPr>
        <w:t>万元以上通用设备</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台（套）。</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九、预算绩效管理工作开展情况</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w:t>
      </w:r>
      <w:r>
        <w:rPr>
          <w:rFonts w:hint="eastAsia" w:ascii="仿宋" w:hAnsi="仿宋" w:eastAsia="仿宋"/>
          <w:color w:val="000000" w:themeColor="text1"/>
          <w:szCs w:val="32"/>
          <w:lang w:val="en-US" w:eastAsia="zh-CN"/>
          <w14:textFill>
            <w14:solidFill>
              <w14:schemeClr w14:val="tx1"/>
            </w14:solidFill>
          </w14:textFill>
        </w:rPr>
        <w:t>1</w:t>
      </w:r>
      <w:r>
        <w:rPr>
          <w:rFonts w:hint="eastAsia" w:ascii="仿宋" w:hAnsi="仿宋" w:eastAsia="仿宋"/>
          <w:color w:val="000000" w:themeColor="text1"/>
          <w:szCs w:val="32"/>
          <w14:textFill>
            <w14:solidFill>
              <w14:schemeClr w14:val="tx1"/>
            </w14:solidFill>
          </w14:textFill>
        </w:rPr>
        <w:t>个项目，</w:t>
      </w:r>
      <w:r>
        <w:rPr>
          <w:rFonts w:hint="eastAsia" w:ascii="仿宋" w:hAnsi="仿宋" w:eastAsia="仿宋"/>
          <w:color w:val="000000" w:themeColor="text1"/>
          <w:szCs w:val="32"/>
          <w:lang w:val="en-US" w:eastAsia="zh-CN"/>
          <w14:textFill>
            <w14:solidFill>
              <w14:schemeClr w14:val="tx1"/>
            </w14:solidFill>
          </w14:textFill>
        </w:rPr>
        <w:t>34.2</w:t>
      </w:r>
      <w:r>
        <w:rPr>
          <w:rFonts w:hint="eastAsia" w:ascii="仿宋" w:hAnsi="仿宋" w:eastAsia="仿宋"/>
          <w:color w:val="000000" w:themeColor="text1"/>
          <w:szCs w:val="32"/>
          <w14:textFill>
            <w14:solidFill>
              <w14:schemeClr w14:val="tx1"/>
            </w14:solidFill>
          </w14:textFill>
        </w:rPr>
        <w:t>万元，并将以此为基础开展后续预算绩效管理工作，努力建立健全以结果为导向的预算绩效管理工作机制。</w:t>
      </w:r>
    </w:p>
    <w:p>
      <w:pPr>
        <w:ind w:firstLine="640" w:firstLineChars="200"/>
        <w:rPr>
          <w:rFonts w:ascii="黑体" w:hAnsi="黑体" w:eastAsia="黑体"/>
          <w:color w:val="000000" w:themeColor="text1"/>
          <w:szCs w:val="32"/>
          <w14:textFill>
            <w14:solidFill>
              <w14:schemeClr w14:val="tx1"/>
            </w14:solidFill>
          </w14:textFill>
        </w:rPr>
      </w:pPr>
    </w:p>
    <w:p>
      <w:pPr>
        <w:ind w:firstLine="640" w:firstLineChars="200"/>
        <w:rPr>
          <w:rFonts w:ascii="黑体" w:hAnsi="黑体" w:eastAsia="黑体"/>
          <w:color w:val="000000" w:themeColor="text1"/>
          <w:szCs w:val="32"/>
          <w14:textFill>
            <w14:solidFill>
              <w14:schemeClr w14:val="tx1"/>
            </w14:solidFill>
          </w14:textFill>
        </w:rPr>
      </w:pP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第三部分</w:t>
      </w: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名词解释</w:t>
      </w:r>
    </w:p>
    <w:p>
      <w:pPr>
        <w:ind w:firstLine="640" w:firstLineChars="200"/>
        <w:rPr>
          <w:rFonts w:ascii="仿宋" w:hAnsi="仿宋" w:eastAsia="仿宋"/>
          <w:color w:val="000000" w:themeColor="text1"/>
          <w:szCs w:val="32"/>
          <w14:textFill>
            <w14:solidFill>
              <w14:schemeClr w14:val="tx1"/>
            </w14:solidFill>
          </w14:textFill>
        </w:rPr>
      </w:pP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一、财政拨款收入</w:t>
      </w:r>
    </w:p>
    <w:p>
      <w:pPr>
        <w:ind w:firstLine="64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指本级财政当年拨付的资金。</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二、事业收入</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指事业单位开展专务活动及辅助所取得的收入。</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三、其他收入</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指除“财政拨款”、“事业收入”、“事业单位经营收入”、“附属单位上缴收入”等以外的收入。</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四、基本支出</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指为保障机构正常运转、完成日常工作任务所必需的开支，其内容包括人员经费和日常公用经费两部分。</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五、项目支出</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指在基本支出之外，为完成特定的行政工作任务或事业发展目标所发生的支出。</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六、机关运行经费</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七、“三公”经费</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小标宋_GBK">
    <w:altName w:val="宋体"/>
    <w:panose1 w:val="03000509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25FAC"/>
    <w:rsid w:val="00127F6F"/>
    <w:rsid w:val="00162A29"/>
    <w:rsid w:val="001852DE"/>
    <w:rsid w:val="001965F5"/>
    <w:rsid w:val="00196E05"/>
    <w:rsid w:val="001B31A3"/>
    <w:rsid w:val="00207623"/>
    <w:rsid w:val="0024750C"/>
    <w:rsid w:val="002A397A"/>
    <w:rsid w:val="00334DFB"/>
    <w:rsid w:val="00377211"/>
    <w:rsid w:val="003838FD"/>
    <w:rsid w:val="003C0C15"/>
    <w:rsid w:val="004A3479"/>
    <w:rsid w:val="004E79D5"/>
    <w:rsid w:val="0051511D"/>
    <w:rsid w:val="00583109"/>
    <w:rsid w:val="005C4BFD"/>
    <w:rsid w:val="005E427E"/>
    <w:rsid w:val="0060448E"/>
    <w:rsid w:val="00612ECF"/>
    <w:rsid w:val="007C5FD2"/>
    <w:rsid w:val="00845860"/>
    <w:rsid w:val="008A08E8"/>
    <w:rsid w:val="008A2F34"/>
    <w:rsid w:val="008D7DD2"/>
    <w:rsid w:val="008E57A8"/>
    <w:rsid w:val="00925F66"/>
    <w:rsid w:val="00975602"/>
    <w:rsid w:val="00976444"/>
    <w:rsid w:val="009A1FE2"/>
    <w:rsid w:val="00A02B5D"/>
    <w:rsid w:val="00B62460"/>
    <w:rsid w:val="00BC0D2F"/>
    <w:rsid w:val="00C15DCD"/>
    <w:rsid w:val="00C56A03"/>
    <w:rsid w:val="00D56ECE"/>
    <w:rsid w:val="00DA4FD4"/>
    <w:rsid w:val="00DF06AF"/>
    <w:rsid w:val="00E56EAF"/>
    <w:rsid w:val="00E72D14"/>
    <w:rsid w:val="00F34146"/>
    <w:rsid w:val="00F97444"/>
    <w:rsid w:val="00FC2311"/>
    <w:rsid w:val="00FD4637"/>
    <w:rsid w:val="00FE26A6"/>
    <w:rsid w:val="010A12D3"/>
    <w:rsid w:val="024A6BBB"/>
    <w:rsid w:val="04266D3F"/>
    <w:rsid w:val="05C44363"/>
    <w:rsid w:val="09A90F3D"/>
    <w:rsid w:val="0A3238CF"/>
    <w:rsid w:val="0ADF0843"/>
    <w:rsid w:val="0F5F4CDF"/>
    <w:rsid w:val="11407FBE"/>
    <w:rsid w:val="122325DC"/>
    <w:rsid w:val="12BB6E93"/>
    <w:rsid w:val="132020EA"/>
    <w:rsid w:val="13373DD2"/>
    <w:rsid w:val="14035E65"/>
    <w:rsid w:val="178A2187"/>
    <w:rsid w:val="1BA30BFA"/>
    <w:rsid w:val="1E9C48AD"/>
    <w:rsid w:val="1F4D156A"/>
    <w:rsid w:val="20132F09"/>
    <w:rsid w:val="22663EE4"/>
    <w:rsid w:val="25360AA4"/>
    <w:rsid w:val="26693700"/>
    <w:rsid w:val="29BB18D7"/>
    <w:rsid w:val="328C766F"/>
    <w:rsid w:val="34325386"/>
    <w:rsid w:val="35987411"/>
    <w:rsid w:val="36105822"/>
    <w:rsid w:val="36C0030B"/>
    <w:rsid w:val="3A4A2787"/>
    <w:rsid w:val="3A741456"/>
    <w:rsid w:val="3BC40C7A"/>
    <w:rsid w:val="3C666D1E"/>
    <w:rsid w:val="3F737150"/>
    <w:rsid w:val="3F9E577D"/>
    <w:rsid w:val="423754AA"/>
    <w:rsid w:val="433B6C84"/>
    <w:rsid w:val="46DA7391"/>
    <w:rsid w:val="4758775A"/>
    <w:rsid w:val="4817298D"/>
    <w:rsid w:val="4A4F6520"/>
    <w:rsid w:val="4B7C1A0A"/>
    <w:rsid w:val="4F486A82"/>
    <w:rsid w:val="51CB29B7"/>
    <w:rsid w:val="537D4091"/>
    <w:rsid w:val="562B732D"/>
    <w:rsid w:val="57293B7F"/>
    <w:rsid w:val="58317462"/>
    <w:rsid w:val="5CAA29B9"/>
    <w:rsid w:val="5D2F634B"/>
    <w:rsid w:val="65486944"/>
    <w:rsid w:val="659A38BC"/>
    <w:rsid w:val="67624FD4"/>
    <w:rsid w:val="68F26D68"/>
    <w:rsid w:val="6E3A5970"/>
    <w:rsid w:val="6E5C0FF3"/>
    <w:rsid w:val="6EFD4188"/>
    <w:rsid w:val="714A0B4B"/>
    <w:rsid w:val="76E01886"/>
    <w:rsid w:val="77DD3B9F"/>
    <w:rsid w:val="78B1472C"/>
    <w:rsid w:val="79316725"/>
    <w:rsid w:val="7C7C76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customStyle="1"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397</Words>
  <Characters>2269</Characters>
  <Lines>18</Lines>
  <Paragraphs>5</Paragraphs>
  <TotalTime>0</TotalTime>
  <ScaleCrop>false</ScaleCrop>
  <LinksUpToDate>false</LinksUpToDate>
  <CharactersWithSpaces>2661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lenovo</cp:lastModifiedBy>
  <cp:lastPrinted>2020-03-03T07:59:00Z</cp:lastPrinted>
  <dcterms:modified xsi:type="dcterms:W3CDTF">2020-12-14T07:56:04Z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