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_GBK" w:eastAsia="方正小标宋_GBK"/>
          <w:sz w:val="40"/>
        </w:rPr>
      </w:pPr>
    </w:p>
    <w:p>
      <w:pPr>
        <w:rPr>
          <w:rFonts w:ascii="方正小标宋_GBK" w:eastAsia="方正小标宋_GBK"/>
          <w:sz w:val="40"/>
        </w:rPr>
      </w:pPr>
    </w:p>
    <w:p>
      <w:pPr>
        <w:jc w:val="center"/>
        <w:rPr>
          <w:rFonts w:ascii="方正小标宋简体" w:hAnsi="方正小标宋简体" w:eastAsia="方正小标宋简体" w:cs="方正小标宋简体"/>
          <w:w w:val="85"/>
          <w:sz w:val="56"/>
        </w:rPr>
      </w:pPr>
      <w:r>
        <w:rPr>
          <w:rFonts w:hint="eastAsia" w:ascii="方正小标宋简体" w:hAnsi="方正小标宋简体" w:eastAsia="方正小标宋简体" w:cs="方正小标宋简体"/>
          <w:w w:val="85"/>
          <w:sz w:val="56"/>
        </w:rPr>
        <w:t>濮阳市华龙区审计局</w:t>
      </w:r>
    </w:p>
    <w:p>
      <w:pPr>
        <w:jc w:val="center"/>
        <w:rPr>
          <w:rFonts w:ascii="方正小标宋简体" w:hAnsi="方正小标宋简体" w:eastAsia="方正小标宋简体" w:cs="方正小标宋简体"/>
          <w:spacing w:val="-20"/>
          <w:sz w:val="44"/>
        </w:rPr>
      </w:pPr>
      <w:r>
        <w:rPr>
          <w:rFonts w:ascii="方正小标宋简体" w:hAnsi="方正小标宋简体" w:eastAsia="方正小标宋简体" w:cs="方正小标宋简体"/>
          <w:w w:val="85"/>
          <w:sz w:val="56"/>
        </w:rPr>
        <w:t>2020</w:t>
      </w:r>
      <w:r>
        <w:rPr>
          <w:rFonts w:hint="eastAsia" w:ascii="方正小标宋简体" w:hAnsi="方正小标宋简体" w:eastAsia="方正小标宋简体" w:cs="方正小标宋简体"/>
          <w:w w:val="85"/>
          <w:sz w:val="56"/>
        </w:rPr>
        <w:t>年部门预算公开说明</w:t>
      </w: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both"/>
        <w:rPr>
          <w:rFonts w:ascii="方正小标宋_GBK" w:eastAsia="方正小标宋_GBK"/>
          <w:sz w:val="40"/>
        </w:rPr>
      </w:pPr>
    </w:p>
    <w:p>
      <w:pPr>
        <w:jc w:val="center"/>
        <w:rPr>
          <w:rFonts w:ascii="楷体_GB2312" w:eastAsia="楷体_GB2312"/>
          <w:b/>
          <w:w w:val="90"/>
          <w:sz w:val="40"/>
        </w:rPr>
      </w:pPr>
      <w:r>
        <w:rPr>
          <w:rFonts w:hint="eastAsia" w:ascii="楷体_GB2312" w:eastAsia="楷体_GB2312"/>
          <w:b/>
          <w:w w:val="90"/>
          <w:sz w:val="40"/>
        </w:rPr>
        <w:t>二</w:t>
      </w:r>
      <w:r>
        <w:rPr>
          <w:rFonts w:hint="eastAsia" w:ascii="宋体" w:hAnsi="宋体" w:cs="宋体"/>
          <w:b/>
          <w:w w:val="90"/>
          <w:sz w:val="40"/>
        </w:rPr>
        <w:t>〇</w:t>
      </w:r>
      <w:r>
        <w:rPr>
          <w:rFonts w:hint="eastAsia" w:ascii="楷体_GB2312" w:eastAsia="楷体_GB2312"/>
          <w:b/>
          <w:w w:val="90"/>
          <w:sz w:val="40"/>
        </w:rPr>
        <w:t>二</w:t>
      </w:r>
      <w:r>
        <w:rPr>
          <w:rFonts w:hint="eastAsia" w:ascii="宋体" w:hAnsi="宋体" w:cs="宋体"/>
          <w:b/>
          <w:w w:val="90"/>
          <w:sz w:val="40"/>
        </w:rPr>
        <w:t>〇</w:t>
      </w:r>
      <w:r>
        <w:rPr>
          <w:rFonts w:hint="eastAsia" w:ascii="楷体_GB2312" w:hAnsi="楷体_GB2312" w:eastAsia="楷体_GB2312" w:cs="楷体_GB2312"/>
          <w:b/>
          <w:w w:val="90"/>
          <w:sz w:val="40"/>
        </w:rPr>
        <w:t>年六月</w:t>
      </w:r>
    </w:p>
    <w:p>
      <w:pPr>
        <w:widowControl/>
        <w:jc w:val="left"/>
        <w:rPr>
          <w:rFonts w:ascii="黑体" w:hAnsi="黑体" w:eastAsia="黑体" w:cs="宋体"/>
          <w:color w:val="000000"/>
          <w:kern w:val="0"/>
          <w:sz w:val="44"/>
          <w:szCs w:val="32"/>
        </w:rPr>
      </w:pPr>
      <w:r>
        <w:rPr>
          <w:rFonts w:ascii="黑体" w:hAnsi="黑体" w:eastAsia="黑体"/>
          <w:color w:val="000000"/>
          <w:sz w:val="44"/>
          <w:szCs w:val="32"/>
        </w:rPr>
        <w:br w:type="page"/>
      </w:r>
    </w:p>
    <w:p>
      <w:pPr>
        <w:pStyle w:val="6"/>
        <w:topLinePunct/>
        <w:spacing w:before="0" w:beforeAutospacing="0" w:after="0" w:afterAutospacing="0" w:line="360" w:lineRule="auto"/>
        <w:ind w:firstLine="880"/>
        <w:jc w:val="center"/>
        <w:rPr>
          <w:rFonts w:ascii="黑体" w:hAnsi="黑体" w:eastAsia="黑体"/>
          <w:color w:val="000000"/>
          <w:sz w:val="44"/>
          <w:szCs w:val="32"/>
        </w:rPr>
      </w:pPr>
    </w:p>
    <w:p>
      <w:pPr>
        <w:pStyle w:val="6"/>
        <w:topLinePunct/>
        <w:spacing w:before="0" w:beforeAutospacing="0" w:after="0" w:afterAutospacing="0" w:line="360" w:lineRule="auto"/>
        <w:jc w:val="center"/>
        <w:rPr>
          <w:rFonts w:ascii="黑体" w:hAnsi="黑体" w:eastAsia="黑体"/>
          <w:color w:val="000000"/>
          <w:sz w:val="44"/>
          <w:szCs w:val="32"/>
        </w:rPr>
      </w:pPr>
      <w:r>
        <w:rPr>
          <w:rFonts w:hint="eastAsia" w:ascii="黑体" w:hAnsi="黑体" w:eastAsia="黑体"/>
          <w:color w:val="000000"/>
          <w:sz w:val="44"/>
          <w:szCs w:val="32"/>
        </w:rPr>
        <w:t>目</w:t>
      </w:r>
      <w:r>
        <w:rPr>
          <w:rFonts w:ascii="黑体" w:hAnsi="黑体" w:eastAsia="黑体"/>
          <w:color w:val="000000"/>
          <w:sz w:val="44"/>
          <w:szCs w:val="32"/>
        </w:rPr>
        <w:t> </w:t>
      </w:r>
      <w:r>
        <w:rPr>
          <w:rFonts w:hint="eastAsia" w:ascii="黑体" w:hAnsi="黑体" w:eastAsia="黑体"/>
          <w:color w:val="000000"/>
          <w:sz w:val="44"/>
          <w:szCs w:val="32"/>
        </w:rPr>
        <w:t>录</w:t>
      </w:r>
    </w:p>
    <w:p>
      <w:pPr>
        <w:pStyle w:val="6"/>
        <w:topLinePunct/>
        <w:spacing w:before="0" w:beforeAutospacing="0" w:after="0" w:afterAutospacing="0" w:line="360" w:lineRule="auto"/>
        <w:ind w:firstLine="720"/>
        <w:jc w:val="center"/>
        <w:rPr>
          <w:rFonts w:ascii="黑体" w:hAnsi="黑体" w:eastAsia="黑体"/>
          <w:color w:val="000000"/>
          <w:sz w:val="36"/>
          <w:szCs w:val="32"/>
        </w:rPr>
      </w:pPr>
    </w:p>
    <w:p>
      <w:pPr>
        <w:pStyle w:val="6"/>
        <w:overflowPunct w:val="0"/>
        <w:topLinePunct/>
        <w:spacing w:before="0" w:beforeAutospacing="0" w:after="0" w:afterAutospacing="0" w:line="360" w:lineRule="auto"/>
        <w:ind w:firstLine="640"/>
        <w:jc w:val="both"/>
        <w:rPr>
          <w:color w:val="000000"/>
        </w:rPr>
      </w:pPr>
      <w:r>
        <w:rPr>
          <w:rFonts w:hint="eastAsia" w:ascii="黑体" w:hAnsi="黑体" w:eastAsia="黑体"/>
          <w:color w:val="000000"/>
          <w:sz w:val="32"/>
          <w:szCs w:val="32"/>
        </w:rPr>
        <w:t>第一部分</w:t>
      </w:r>
      <w:r>
        <w:rPr>
          <w:color w:val="000000"/>
          <w:sz w:val="32"/>
          <w:szCs w:val="32"/>
        </w:rPr>
        <w:t xml:space="preserve"> </w:t>
      </w:r>
      <w:r>
        <w:rPr>
          <w:rFonts w:hint="eastAsia" w:ascii="黑体" w:hAnsi="黑体" w:eastAsia="黑体"/>
          <w:color w:val="000000"/>
          <w:sz w:val="32"/>
          <w:szCs w:val="32"/>
        </w:rPr>
        <w:t>部门概况</w:t>
      </w:r>
      <w:r>
        <w:rPr>
          <w:color w:val="000000"/>
          <w:sz w:val="32"/>
          <w:szCs w:val="32"/>
        </w:rPr>
        <w:t> </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一、部门主要职责</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二、机构设置情况</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r>
        <w:rPr>
          <w:rFonts w:hint="eastAsia" w:ascii="黑体" w:hAnsi="黑体" w:eastAsia="黑体"/>
          <w:color w:val="000000"/>
          <w:sz w:val="32"/>
          <w:szCs w:val="32"/>
        </w:rPr>
        <w:t>第二部分</w:t>
      </w:r>
      <w:r>
        <w:rPr>
          <w:rFonts w:ascii="黑体" w:hAnsi="黑体" w:eastAsia="黑体"/>
          <w:color w:val="000000"/>
          <w:sz w:val="32"/>
          <w:szCs w:val="32"/>
        </w:rPr>
        <w:t xml:space="preserve"> 2020</w:t>
      </w:r>
      <w:r>
        <w:rPr>
          <w:rFonts w:hint="eastAsia" w:ascii="黑体" w:hAnsi="黑体" w:eastAsia="黑体"/>
          <w:color w:val="000000"/>
          <w:sz w:val="32"/>
          <w:szCs w:val="32"/>
        </w:rPr>
        <w:t>年部门预算情况说明</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r>
        <w:rPr>
          <w:rFonts w:hint="eastAsia" w:ascii="黑体" w:hAnsi="黑体" w:eastAsia="黑体"/>
          <w:color w:val="000000"/>
          <w:sz w:val="32"/>
          <w:szCs w:val="32"/>
        </w:rPr>
        <w:t>第三部分</w:t>
      </w:r>
      <w:r>
        <w:rPr>
          <w:rFonts w:ascii="黑体" w:hAnsi="黑体" w:eastAsia="黑体"/>
          <w:color w:val="000000"/>
          <w:sz w:val="32"/>
          <w:szCs w:val="32"/>
        </w:rPr>
        <w:t xml:space="preserve"> </w:t>
      </w:r>
      <w:r>
        <w:rPr>
          <w:rFonts w:hint="eastAsia" w:ascii="黑体" w:hAnsi="黑体" w:eastAsia="黑体"/>
          <w:color w:val="000000"/>
          <w:sz w:val="32"/>
          <w:szCs w:val="32"/>
        </w:rPr>
        <w:t>名词解释</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p>
    <w:p>
      <w:pPr>
        <w:pStyle w:val="6"/>
        <w:overflowPunct w:val="0"/>
        <w:topLinePunct/>
        <w:spacing w:before="0" w:beforeAutospacing="0" w:after="0" w:afterAutospacing="0" w:line="360" w:lineRule="auto"/>
        <w:ind w:firstLine="640"/>
        <w:jc w:val="both"/>
      </w:pPr>
      <w:r>
        <w:rPr>
          <w:rFonts w:hint="eastAsia" w:ascii="黑体" w:hAnsi="黑体" w:eastAsia="黑体"/>
          <w:color w:val="000000"/>
          <w:sz w:val="32"/>
          <w:szCs w:val="32"/>
        </w:rPr>
        <w:t>附件：</w:t>
      </w:r>
      <w:r>
        <w:rPr>
          <w:rFonts w:hint="eastAsia" w:ascii="黑体" w:hAnsi="黑体" w:eastAsia="黑体"/>
          <w:sz w:val="32"/>
          <w:szCs w:val="32"/>
        </w:rPr>
        <w:t>濮阳市华龙区审计局</w:t>
      </w:r>
      <w:r>
        <w:rPr>
          <w:rFonts w:ascii="黑体" w:hAnsi="黑体" w:eastAsia="黑体"/>
          <w:sz w:val="32"/>
          <w:szCs w:val="32"/>
        </w:rPr>
        <w:t>2020</w:t>
      </w:r>
      <w:r>
        <w:rPr>
          <w:rFonts w:hint="eastAsia" w:ascii="黑体" w:hAnsi="黑体" w:eastAsia="黑体"/>
          <w:sz w:val="32"/>
          <w:szCs w:val="32"/>
        </w:rPr>
        <w:t>年部门预算表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一、部门收支总表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二、部门收入总表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三、部门支出总表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四、财政拨款收支总表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五、一般公共预算支出表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六、一般公共预算基本支出表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七、一般公共预算“三公”经费支出表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八、政府性基金预算支出表</w:t>
      </w:r>
    </w:p>
    <w:p>
      <w:pPr>
        <w:ind w:firstLine="640" w:firstLineChars="200"/>
        <w:rPr>
          <w:rFonts w:ascii="黑体" w:hAnsi="黑体" w:eastAsia="黑体"/>
          <w:szCs w:val="32"/>
        </w:rPr>
      </w:pPr>
    </w:p>
    <w:p>
      <w:pPr>
        <w:rPr>
          <w:rFonts w:ascii="黑体" w:hAnsi="黑体" w:eastAsia="黑体"/>
          <w:szCs w:val="32"/>
        </w:rPr>
      </w:pPr>
      <w:r>
        <w:rPr>
          <w:rFonts w:ascii="黑体" w:hAnsi="黑体" w:eastAsia="黑体"/>
          <w:szCs w:val="32"/>
        </w:rPr>
        <w:br w:type="page"/>
      </w:r>
    </w:p>
    <w:p>
      <w:pPr>
        <w:ind w:firstLine="640" w:firstLineChars="200"/>
        <w:rPr>
          <w:rFonts w:ascii="黑体" w:hAnsi="黑体" w:eastAsia="黑体"/>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第一部分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部门概况</w:t>
      </w:r>
    </w:p>
    <w:p>
      <w:pPr>
        <w:ind w:firstLine="640" w:firstLineChars="200"/>
        <w:rPr>
          <w:rFonts w:ascii="黑体" w:hAnsi="黑体" w:eastAsia="黑体"/>
          <w:szCs w:val="32"/>
        </w:rPr>
      </w:pPr>
      <w:r>
        <w:rPr>
          <w:rFonts w:ascii="黑体" w:hAnsi="黑体" w:eastAsia="黑体"/>
          <w:szCs w:val="32"/>
        </w:rPr>
        <w:t> </w:t>
      </w:r>
    </w:p>
    <w:p>
      <w:pPr>
        <w:ind w:firstLine="640" w:firstLineChars="200"/>
        <w:rPr>
          <w:rFonts w:ascii="黑体" w:hAnsi="黑体" w:eastAsia="黑体"/>
          <w:szCs w:val="32"/>
        </w:rPr>
      </w:pPr>
      <w:r>
        <w:rPr>
          <w:rFonts w:hint="eastAsia" w:ascii="黑体" w:hAnsi="黑体" w:eastAsia="黑体"/>
          <w:szCs w:val="32"/>
        </w:rPr>
        <w:t>一、部门主要职责</w:t>
      </w:r>
    </w:p>
    <w:p>
      <w:pPr>
        <w:ind w:firstLine="640" w:firstLineChars="200"/>
        <w:rPr>
          <w:rFonts w:hAnsi="黑体"/>
          <w:szCs w:val="32"/>
        </w:rPr>
      </w:pPr>
      <w:r>
        <w:rPr>
          <w:rFonts w:hAnsi="黑体"/>
          <w:szCs w:val="32"/>
        </w:rPr>
        <w:t>(</w:t>
      </w:r>
      <w:r>
        <w:rPr>
          <w:rFonts w:hint="eastAsia" w:hAnsi="黑体"/>
          <w:szCs w:val="32"/>
        </w:rPr>
        <w:t>一</w:t>
      </w:r>
      <w:r>
        <w:rPr>
          <w:rFonts w:hAnsi="黑体"/>
          <w:szCs w:val="32"/>
        </w:rPr>
        <w:t>)</w:t>
      </w:r>
      <w:r>
        <w:rPr>
          <w:rFonts w:hint="eastAsia" w:hAnsi="黑体"/>
          <w:szCs w:val="32"/>
        </w:rPr>
        <w:t>主管全区审计工作。负责对党和国家及区委区政</w:t>
      </w:r>
      <w:r>
        <w:rPr>
          <w:rFonts w:hAnsi="黑体"/>
          <w:szCs w:val="32"/>
        </w:rPr>
        <w:t>|</w:t>
      </w:r>
      <w:r>
        <w:rPr>
          <w:rFonts w:hint="eastAsia" w:hAnsi="黑体"/>
          <w:szCs w:val="32"/>
        </w:rPr>
        <w:t>府有关重大政策措施贯彻落实情况进行跟踪审计</w:t>
      </w:r>
      <w:r>
        <w:rPr>
          <w:rFonts w:hAnsi="黑体"/>
          <w:szCs w:val="32"/>
        </w:rPr>
        <w:t>,</w:t>
      </w:r>
      <w:r>
        <w:rPr>
          <w:rFonts w:hint="eastAsia" w:hAnsi="黑体"/>
          <w:szCs w:val="32"/>
        </w:rPr>
        <w:t>对全区财</w:t>
      </w:r>
      <w:r>
        <w:rPr>
          <w:rFonts w:hAnsi="黑体"/>
          <w:szCs w:val="32"/>
        </w:rPr>
        <w:t>||</w:t>
      </w:r>
      <w:r>
        <w:rPr>
          <w:rFonts w:hint="eastAsia" w:hAnsi="黑体"/>
          <w:szCs w:val="32"/>
        </w:rPr>
        <w:t>政收支和法律法规规定属于审计监督范围的财务收支的真</w:t>
      </w:r>
      <w:r>
        <w:rPr>
          <w:rFonts w:hAnsi="黑体"/>
          <w:szCs w:val="32"/>
        </w:rPr>
        <w:t>||</w:t>
      </w:r>
      <w:r>
        <w:rPr>
          <w:rFonts w:hint="eastAsia" w:hAnsi="黑体"/>
          <w:szCs w:val="32"/>
        </w:rPr>
        <w:t>实、合法和效益进行审计监督</w:t>
      </w:r>
      <w:r>
        <w:rPr>
          <w:rFonts w:hAnsi="黑体"/>
          <w:szCs w:val="32"/>
        </w:rPr>
        <w:t>,</w:t>
      </w:r>
      <w:r>
        <w:rPr>
          <w:rFonts w:hint="eastAsia" w:hAnsi="黑体"/>
          <w:szCs w:val="32"/>
        </w:rPr>
        <w:t>对公共资金、国有资产、国有资源和领导干部履行经济责任情况实行审计全覆盖</w:t>
      </w:r>
      <w:r>
        <w:rPr>
          <w:rFonts w:hAnsi="黑体"/>
          <w:szCs w:val="32"/>
        </w:rPr>
        <w:t>,</w:t>
      </w:r>
      <w:r>
        <w:rPr>
          <w:rFonts w:hint="eastAsia" w:hAnsi="黑体"/>
          <w:szCs w:val="32"/>
        </w:rPr>
        <w:t>对领</w:t>
      </w:r>
      <w:r>
        <w:rPr>
          <w:rFonts w:hAnsi="黑体"/>
          <w:szCs w:val="32"/>
        </w:rPr>
        <w:t>|</w:t>
      </w:r>
      <w:r>
        <w:rPr>
          <w:rFonts w:hint="eastAsia" w:hAnsi="黑体"/>
          <w:szCs w:val="32"/>
        </w:rPr>
        <w:t>导干部实行自然资源资产离任审计。对审计、专项审计调查</w:t>
      </w:r>
      <w:r>
        <w:rPr>
          <w:rFonts w:hAnsi="黑体"/>
          <w:szCs w:val="32"/>
        </w:rPr>
        <w:t>||</w:t>
      </w:r>
      <w:r>
        <w:rPr>
          <w:rFonts w:hint="eastAsia" w:hAnsi="黑体"/>
          <w:szCs w:val="32"/>
        </w:rPr>
        <w:t>和核查社会审计机构相关审计报告的结果承担责任</w:t>
      </w:r>
      <w:r>
        <w:rPr>
          <w:rFonts w:hAnsi="黑体"/>
          <w:szCs w:val="32"/>
        </w:rPr>
        <w:t>,</w:t>
      </w:r>
      <w:r>
        <w:rPr>
          <w:rFonts w:hint="eastAsia" w:hAnsi="黑体"/>
          <w:szCs w:val="32"/>
        </w:rPr>
        <w:t>并负有督促被审计单位整改的责任。</w:t>
      </w:r>
    </w:p>
    <w:p>
      <w:pPr>
        <w:ind w:firstLine="640" w:firstLineChars="200"/>
        <w:rPr>
          <w:rFonts w:hAnsi="黑体"/>
          <w:szCs w:val="32"/>
        </w:rPr>
      </w:pPr>
      <w:r>
        <w:rPr>
          <w:rFonts w:hAnsi="黑体"/>
          <w:szCs w:val="32"/>
        </w:rPr>
        <w:t>(</w:t>
      </w:r>
      <w:r>
        <w:rPr>
          <w:rFonts w:hint="eastAsia" w:hAnsi="黑体"/>
          <w:szCs w:val="32"/>
        </w:rPr>
        <w:t>二</w:t>
      </w:r>
      <w:r>
        <w:rPr>
          <w:rFonts w:hAnsi="黑体"/>
          <w:szCs w:val="32"/>
        </w:rPr>
        <w:t>)</w:t>
      </w:r>
      <w:r>
        <w:rPr>
          <w:rFonts w:hint="eastAsia" w:hAnsi="黑体"/>
          <w:szCs w:val="32"/>
        </w:rPr>
        <w:t>拟订审计制度并监督执行。拟订并组织实施审计工作发展规划和专业领域审计工作规划</w:t>
      </w:r>
      <w:r>
        <w:rPr>
          <w:rFonts w:hAnsi="黑体"/>
          <w:szCs w:val="32"/>
        </w:rPr>
        <w:t>,</w:t>
      </w:r>
      <w:r>
        <w:rPr>
          <w:rFonts w:hint="eastAsia" w:hAnsi="黑体"/>
          <w:szCs w:val="32"/>
        </w:rPr>
        <w:t>拟订并组织实施年度审计计划。对直接审计、调查和核查的事项依法进行审计</w:t>
      </w:r>
      <w:r>
        <w:rPr>
          <w:rFonts w:hAnsi="黑体"/>
          <w:szCs w:val="32"/>
        </w:rPr>
        <w:t>|</w:t>
      </w:r>
      <w:r>
        <w:rPr>
          <w:rFonts w:hint="eastAsia" w:hAnsi="黑体"/>
          <w:szCs w:val="32"/>
        </w:rPr>
        <w:t>评价</w:t>
      </w:r>
      <w:r>
        <w:rPr>
          <w:rFonts w:hAnsi="黑体"/>
          <w:szCs w:val="32"/>
        </w:rPr>
        <w:t>,</w:t>
      </w:r>
      <w:r>
        <w:rPr>
          <w:rFonts w:hint="eastAsia" w:hAnsi="黑体"/>
          <w:szCs w:val="32"/>
        </w:rPr>
        <w:t>作出审计决定或提出审计建议。</w:t>
      </w:r>
    </w:p>
    <w:p>
      <w:pPr>
        <w:ind w:firstLine="640" w:firstLineChars="200"/>
        <w:rPr>
          <w:rFonts w:hAnsi="黑体"/>
          <w:szCs w:val="32"/>
        </w:rPr>
      </w:pPr>
      <w:r>
        <w:rPr>
          <w:rFonts w:hAnsi="黑体"/>
          <w:szCs w:val="32"/>
        </w:rPr>
        <w:t>(</w:t>
      </w:r>
      <w:r>
        <w:rPr>
          <w:rFonts w:hint="eastAsia" w:hAnsi="黑体"/>
          <w:szCs w:val="32"/>
        </w:rPr>
        <w:t>三</w:t>
      </w:r>
      <w:r>
        <w:rPr>
          <w:rFonts w:hAnsi="黑体"/>
          <w:szCs w:val="32"/>
        </w:rPr>
        <w:t>)</w:t>
      </w:r>
      <w:r>
        <w:rPr>
          <w:rFonts w:hint="eastAsia" w:hAnsi="黑体"/>
          <w:szCs w:val="32"/>
        </w:rPr>
        <w:t>向区委审计委员提出年度区级预算执行和其他财政收支情况审计报告、审计查出问题整改情况报告和年度审计项目计划等审计重大事项。向区政府提出年度区级预算执行和其他财政收支的审计结果报告和审计查出问题整改情况</w:t>
      </w:r>
      <w:r>
        <w:rPr>
          <w:rFonts w:hAnsi="黑体"/>
          <w:szCs w:val="32"/>
        </w:rPr>
        <w:t>|</w:t>
      </w:r>
      <w:r>
        <w:rPr>
          <w:rFonts w:hint="eastAsia" w:hAnsi="黑体"/>
          <w:szCs w:val="32"/>
        </w:rPr>
        <w:t>报告。受区政府委托向区人大常委会提出区级预算执行和其</w:t>
      </w:r>
      <w:r>
        <w:rPr>
          <w:rFonts w:hAnsi="黑体"/>
          <w:szCs w:val="32"/>
        </w:rPr>
        <w:t>|</w:t>
      </w:r>
      <w:r>
        <w:rPr>
          <w:rFonts w:hint="eastAsia" w:hAnsi="黑体"/>
          <w:szCs w:val="32"/>
        </w:rPr>
        <w:t>他财政收支情况的审计工作报告、审计查出问题整改情况报告。向区委审计委员会和区政府报告其他事项的审计和专项审计调查情况及结果。依法向社会公布审计结果。向区委、区政府和上级审计机关通报审计情况和审计结果。</w:t>
      </w:r>
    </w:p>
    <w:p>
      <w:pPr>
        <w:ind w:firstLine="640" w:firstLineChars="200"/>
        <w:rPr>
          <w:rFonts w:hAnsi="黑体"/>
          <w:szCs w:val="32"/>
        </w:rPr>
      </w:pPr>
      <w:r>
        <w:rPr>
          <w:rFonts w:hAnsi="黑体"/>
          <w:szCs w:val="32"/>
        </w:rPr>
        <w:t>(</w:t>
      </w:r>
      <w:r>
        <w:rPr>
          <w:rFonts w:hint="eastAsia" w:hAnsi="黑体"/>
          <w:szCs w:val="32"/>
        </w:rPr>
        <w:t>四</w:t>
      </w:r>
      <w:r>
        <w:rPr>
          <w:rFonts w:hAnsi="黑体"/>
          <w:szCs w:val="32"/>
        </w:rPr>
        <w:t>)</w:t>
      </w:r>
      <w:r>
        <w:rPr>
          <w:rFonts w:hint="eastAsia" w:hAnsi="黑体"/>
          <w:szCs w:val="32"/>
        </w:rPr>
        <w:t>直接审计下列事项</w:t>
      </w:r>
      <w:r>
        <w:rPr>
          <w:rFonts w:hAnsi="黑体"/>
          <w:szCs w:val="32"/>
        </w:rPr>
        <w:t>,</w:t>
      </w:r>
      <w:r>
        <w:rPr>
          <w:rFonts w:hint="eastAsia" w:hAnsi="黑体"/>
          <w:szCs w:val="32"/>
        </w:rPr>
        <w:t>出具审计报告</w:t>
      </w:r>
      <w:r>
        <w:rPr>
          <w:rFonts w:hAnsi="黑体"/>
          <w:szCs w:val="32"/>
        </w:rPr>
        <w:t>,</w:t>
      </w:r>
      <w:r>
        <w:rPr>
          <w:rFonts w:hint="eastAsia" w:hAnsi="黑体"/>
          <w:szCs w:val="32"/>
        </w:rPr>
        <w:t>在法定职权范围内作出审计决定或向有关主管机关提出有关处理处罚建议</w:t>
      </w:r>
      <w:r>
        <w:rPr>
          <w:rFonts w:hAnsi="黑体"/>
          <w:szCs w:val="32"/>
        </w:rPr>
        <w:t xml:space="preserve">: </w:t>
      </w:r>
    </w:p>
    <w:p>
      <w:pPr>
        <w:ind w:firstLine="640" w:firstLineChars="200"/>
        <w:rPr>
          <w:rFonts w:hAnsi="黑体"/>
          <w:szCs w:val="32"/>
        </w:rPr>
      </w:pPr>
      <w:r>
        <w:rPr>
          <w:rFonts w:hAnsi="黑体"/>
          <w:szCs w:val="32"/>
        </w:rPr>
        <w:t>1.</w:t>
      </w:r>
      <w:r>
        <w:rPr>
          <w:rFonts w:hint="eastAsia" w:hAnsi="黑体"/>
          <w:szCs w:val="32"/>
        </w:rPr>
        <w:t>党中央、国务院、省委、省政府和市委、市政府及区委、区政府有关重大政策措施贯彻落实情况。</w:t>
      </w:r>
    </w:p>
    <w:p>
      <w:pPr>
        <w:ind w:firstLine="640" w:firstLineChars="200"/>
        <w:rPr>
          <w:rFonts w:hAnsi="黑体"/>
          <w:szCs w:val="32"/>
        </w:rPr>
      </w:pPr>
      <w:r>
        <w:rPr>
          <w:rFonts w:hAnsi="黑体"/>
          <w:szCs w:val="32"/>
        </w:rPr>
        <w:t>2.</w:t>
      </w:r>
      <w:r>
        <w:rPr>
          <w:rFonts w:hint="eastAsia" w:hAnsi="黑体"/>
          <w:szCs w:val="32"/>
        </w:rPr>
        <w:t>区级预算执行情况和其他财政收支</w:t>
      </w:r>
      <w:r>
        <w:rPr>
          <w:rFonts w:hAnsi="黑体"/>
          <w:szCs w:val="32"/>
        </w:rPr>
        <w:t>,</w:t>
      </w:r>
      <w:r>
        <w:rPr>
          <w:rFonts w:hint="eastAsia" w:hAnsi="黑体"/>
          <w:szCs w:val="32"/>
        </w:rPr>
        <w:t>区委、区政府各部门</w:t>
      </w:r>
      <w:r>
        <w:rPr>
          <w:rFonts w:hAnsi="黑体"/>
          <w:szCs w:val="32"/>
        </w:rPr>
        <w:t>(</w:t>
      </w:r>
      <w:r>
        <w:rPr>
          <w:rFonts w:hint="eastAsia" w:hAnsi="黑体"/>
          <w:szCs w:val="32"/>
        </w:rPr>
        <w:t>含直属单位</w:t>
      </w:r>
      <w:r>
        <w:rPr>
          <w:rFonts w:hAnsi="黑体"/>
          <w:szCs w:val="32"/>
        </w:rPr>
        <w:t>)</w:t>
      </w:r>
      <w:r>
        <w:rPr>
          <w:rFonts w:hint="eastAsia" w:hAnsi="黑体"/>
          <w:szCs w:val="32"/>
        </w:rPr>
        <w:t>预算执行情况、决算和其他财政收支。</w:t>
      </w:r>
    </w:p>
    <w:p>
      <w:pPr>
        <w:ind w:firstLine="640" w:firstLineChars="200"/>
        <w:rPr>
          <w:rFonts w:hAnsi="黑体"/>
          <w:szCs w:val="32"/>
        </w:rPr>
      </w:pPr>
      <w:r>
        <w:rPr>
          <w:rFonts w:hAnsi="黑体"/>
          <w:szCs w:val="32"/>
        </w:rPr>
        <w:t>3.</w:t>
      </w:r>
      <w:r>
        <w:rPr>
          <w:rFonts w:hint="eastAsia" w:hAnsi="黑体"/>
          <w:szCs w:val="32"/>
        </w:rPr>
        <w:t>乡镇办政府预算执行情况、决算和其他财政收支</w:t>
      </w:r>
      <w:r>
        <w:rPr>
          <w:rFonts w:hAnsi="黑体"/>
          <w:szCs w:val="32"/>
        </w:rPr>
        <w:t>,</w:t>
      </w:r>
      <w:r>
        <w:rPr>
          <w:rFonts w:hint="eastAsia" w:hAnsi="黑体"/>
          <w:szCs w:val="32"/>
        </w:rPr>
        <w:t>区级财政转移支付资金。</w:t>
      </w:r>
    </w:p>
    <w:p>
      <w:pPr>
        <w:ind w:firstLine="640" w:firstLineChars="200"/>
        <w:rPr>
          <w:rFonts w:hAnsi="黑体"/>
          <w:szCs w:val="32"/>
        </w:rPr>
      </w:pPr>
      <w:r>
        <w:rPr>
          <w:rFonts w:hAnsi="黑体"/>
          <w:szCs w:val="32"/>
        </w:rPr>
        <w:t>4.</w:t>
      </w:r>
      <w:r>
        <w:rPr>
          <w:rFonts w:hint="eastAsia" w:hAnsi="黑体"/>
          <w:szCs w:val="32"/>
        </w:rPr>
        <w:t>使用区级财政资金的事业单位和社会团体的财务收支。</w:t>
      </w:r>
    </w:p>
    <w:p>
      <w:pPr>
        <w:ind w:firstLine="640" w:firstLineChars="200"/>
        <w:rPr>
          <w:rFonts w:hAnsi="黑体"/>
          <w:szCs w:val="32"/>
        </w:rPr>
      </w:pPr>
      <w:r>
        <w:rPr>
          <w:rFonts w:hAnsi="黑体"/>
          <w:szCs w:val="32"/>
        </w:rPr>
        <w:t>5.</w:t>
      </w:r>
      <w:r>
        <w:rPr>
          <w:rFonts w:hint="eastAsia" w:hAnsi="黑体"/>
          <w:szCs w:val="32"/>
        </w:rPr>
        <w:t>区级投资和以区级投资为主的建设项目的预算执行情况和决算</w:t>
      </w:r>
      <w:r>
        <w:rPr>
          <w:rFonts w:hAnsi="黑体"/>
          <w:szCs w:val="32"/>
        </w:rPr>
        <w:t>,</w:t>
      </w:r>
      <w:r>
        <w:rPr>
          <w:rFonts w:hint="eastAsia" w:hAnsi="黑体"/>
          <w:szCs w:val="32"/>
        </w:rPr>
        <w:t>区级重大公共工程项目的资金管理使用和建设运营情况。</w:t>
      </w:r>
    </w:p>
    <w:p>
      <w:pPr>
        <w:ind w:firstLine="640" w:firstLineChars="200"/>
        <w:rPr>
          <w:rFonts w:hAnsi="黑体"/>
          <w:szCs w:val="32"/>
        </w:rPr>
      </w:pPr>
      <w:r>
        <w:rPr>
          <w:rFonts w:hAnsi="黑体"/>
          <w:szCs w:val="32"/>
        </w:rPr>
        <w:t>6.</w:t>
      </w:r>
      <w:r>
        <w:rPr>
          <w:rFonts w:hint="eastAsia" w:hAnsi="黑体"/>
          <w:szCs w:val="32"/>
        </w:rPr>
        <w:t>自然资源管理、污染防治和生态保护与修复情况。</w:t>
      </w:r>
    </w:p>
    <w:p>
      <w:pPr>
        <w:ind w:firstLine="640" w:firstLineChars="200"/>
        <w:rPr>
          <w:rFonts w:hAnsi="黑体"/>
          <w:szCs w:val="32"/>
        </w:rPr>
      </w:pPr>
      <w:r>
        <w:rPr>
          <w:rFonts w:hAnsi="黑体"/>
          <w:szCs w:val="32"/>
        </w:rPr>
        <w:t>7.</w:t>
      </w:r>
      <w:r>
        <w:rPr>
          <w:rFonts w:hint="eastAsia" w:hAnsi="黑体"/>
          <w:szCs w:val="32"/>
        </w:rPr>
        <w:t>区属国有企业和金融机构、区政府规定的市属国有资本占控股或主导地位的企业和金融机构境内外资产、负债和损益</w:t>
      </w:r>
      <w:r>
        <w:rPr>
          <w:rFonts w:hAnsi="黑体"/>
          <w:szCs w:val="32"/>
        </w:rPr>
        <w:t>,</w:t>
      </w:r>
      <w:r>
        <w:rPr>
          <w:rFonts w:hint="eastAsia" w:hAnsi="黑体"/>
          <w:szCs w:val="32"/>
        </w:rPr>
        <w:t>区委、区政府驻外非经营性机构的财务收支。</w:t>
      </w:r>
    </w:p>
    <w:p>
      <w:pPr>
        <w:ind w:firstLine="640" w:firstLineChars="200"/>
        <w:rPr>
          <w:rFonts w:hAnsi="黑体"/>
          <w:szCs w:val="32"/>
        </w:rPr>
      </w:pPr>
      <w:r>
        <w:rPr>
          <w:rFonts w:hAnsi="黑体"/>
          <w:szCs w:val="32"/>
        </w:rPr>
        <w:t>8.</w:t>
      </w:r>
      <w:r>
        <w:rPr>
          <w:rFonts w:hint="eastAsia" w:hAnsi="黑体"/>
          <w:szCs w:val="32"/>
        </w:rPr>
        <w:t>区政府部门管理</w:t>
      </w:r>
      <w:r>
        <w:rPr>
          <w:rFonts w:hAnsi="黑体"/>
          <w:szCs w:val="32"/>
        </w:rPr>
        <w:t>,</w:t>
      </w:r>
      <w:r>
        <w:rPr>
          <w:rFonts w:hint="eastAsia" w:hAnsi="黑体"/>
          <w:szCs w:val="32"/>
        </w:rPr>
        <w:t>其他单位受区政府及其部门委托管理的社会保障基金、社会捐赠资金及其他有关基金、资金的财务收支。</w:t>
      </w:r>
    </w:p>
    <w:p>
      <w:pPr>
        <w:ind w:firstLine="640" w:firstLineChars="200"/>
        <w:rPr>
          <w:rFonts w:hAnsi="黑体"/>
          <w:szCs w:val="32"/>
        </w:rPr>
      </w:pPr>
      <w:r>
        <w:rPr>
          <w:rFonts w:hAnsi="黑体"/>
          <w:szCs w:val="32"/>
        </w:rPr>
        <w:t>9.</w:t>
      </w:r>
      <w:r>
        <w:rPr>
          <w:rFonts w:hint="eastAsia" w:hAnsi="黑体"/>
          <w:szCs w:val="32"/>
        </w:rPr>
        <w:t>国际组织和外国政府援助、贷款项目。</w:t>
      </w:r>
    </w:p>
    <w:p>
      <w:pPr>
        <w:ind w:firstLine="640" w:firstLineChars="200"/>
        <w:rPr>
          <w:rFonts w:hAnsi="黑体"/>
          <w:szCs w:val="32"/>
        </w:rPr>
      </w:pPr>
      <w:r>
        <w:rPr>
          <w:rFonts w:hAnsi="黑体"/>
          <w:szCs w:val="32"/>
        </w:rPr>
        <w:t>10.</w:t>
      </w:r>
      <w:r>
        <w:rPr>
          <w:rFonts w:hint="eastAsia" w:hAnsi="黑体"/>
          <w:szCs w:val="32"/>
        </w:rPr>
        <w:t>法律、行政法规和地方性法规规定应由区级审计机构审计的其他事项。</w:t>
      </w:r>
    </w:p>
    <w:p>
      <w:pPr>
        <w:ind w:firstLine="640" w:firstLineChars="200"/>
        <w:rPr>
          <w:rFonts w:hAnsi="黑体"/>
          <w:szCs w:val="32"/>
        </w:rPr>
      </w:pPr>
      <w:r>
        <w:rPr>
          <w:rFonts w:hAnsi="黑体"/>
          <w:szCs w:val="32"/>
        </w:rPr>
        <w:t>(</w:t>
      </w:r>
      <w:r>
        <w:rPr>
          <w:rFonts w:hint="eastAsia" w:hAnsi="黑体"/>
          <w:szCs w:val="32"/>
        </w:rPr>
        <w:t>五</w:t>
      </w:r>
      <w:r>
        <w:rPr>
          <w:rFonts w:hAnsi="黑体"/>
          <w:szCs w:val="32"/>
        </w:rPr>
        <w:t>)</w:t>
      </w:r>
      <w:r>
        <w:rPr>
          <w:rFonts w:hint="eastAsia" w:hAnsi="黑体"/>
          <w:szCs w:val="32"/>
        </w:rPr>
        <w:t>按规定对区管领导干部及依法属于区审计局审计监督对象的其他单位主要负责人实施经济责任审计和自然资</w:t>
      </w:r>
      <w:r>
        <w:rPr>
          <w:rFonts w:hAnsi="黑体"/>
          <w:szCs w:val="32"/>
        </w:rPr>
        <w:t>|</w:t>
      </w:r>
      <w:r>
        <w:rPr>
          <w:rFonts w:hint="eastAsia" w:hAnsi="黑体"/>
          <w:szCs w:val="32"/>
        </w:rPr>
        <w:t>源资产离任及任中审计。</w:t>
      </w:r>
    </w:p>
    <w:p>
      <w:pPr>
        <w:ind w:firstLine="640" w:firstLineChars="200"/>
        <w:rPr>
          <w:rFonts w:hAnsi="黑体"/>
          <w:szCs w:val="32"/>
        </w:rPr>
      </w:pPr>
      <w:r>
        <w:rPr>
          <w:rFonts w:hAnsi="黑体"/>
          <w:szCs w:val="32"/>
        </w:rPr>
        <w:t>(</w:t>
      </w:r>
      <w:r>
        <w:rPr>
          <w:rFonts w:hint="eastAsia" w:hAnsi="黑体"/>
          <w:szCs w:val="32"/>
        </w:rPr>
        <w:t>六</w:t>
      </w:r>
      <w:r>
        <w:rPr>
          <w:rFonts w:hAnsi="黑体"/>
          <w:szCs w:val="32"/>
        </w:rPr>
        <w:t>)</w:t>
      </w:r>
      <w:r>
        <w:rPr>
          <w:rFonts w:hint="eastAsia" w:hAnsi="黑体"/>
          <w:szCs w:val="32"/>
        </w:rPr>
        <w:t>组织实施对财经法律、法规、规章、政策和宏观调控措施执行情况、财政预算管理及国有资产管理使用等与区级财政收支有关的特定事项进行专项审计调查。</w:t>
      </w:r>
    </w:p>
    <w:p>
      <w:pPr>
        <w:ind w:firstLine="640" w:firstLineChars="200"/>
        <w:rPr>
          <w:rFonts w:hAnsi="黑体"/>
          <w:szCs w:val="32"/>
        </w:rPr>
      </w:pPr>
      <w:r>
        <w:rPr>
          <w:rFonts w:hAnsi="黑体"/>
          <w:szCs w:val="32"/>
        </w:rPr>
        <w:t>(</w:t>
      </w:r>
      <w:r>
        <w:rPr>
          <w:rFonts w:hint="eastAsia" w:hAnsi="黑体"/>
          <w:szCs w:val="32"/>
        </w:rPr>
        <w:t>七</w:t>
      </w:r>
      <w:r>
        <w:rPr>
          <w:rFonts w:hAnsi="黑体"/>
          <w:szCs w:val="32"/>
        </w:rPr>
        <w:t>)</w:t>
      </w:r>
      <w:r>
        <w:rPr>
          <w:rFonts w:hint="eastAsia" w:hAnsi="黑体"/>
          <w:szCs w:val="32"/>
        </w:rPr>
        <w:t>依法检查审计决定执行情况</w:t>
      </w:r>
      <w:r>
        <w:rPr>
          <w:rFonts w:hAnsi="黑体"/>
          <w:szCs w:val="32"/>
        </w:rPr>
        <w:t>,</w:t>
      </w:r>
      <w:r>
        <w:rPr>
          <w:rFonts w:hint="eastAsia" w:hAnsi="黑体"/>
          <w:szCs w:val="32"/>
        </w:rPr>
        <w:t>督促整改审计查出的问题。依法办理被审计单位对审计决定提请行政复议</w:t>
      </w:r>
      <w:r>
        <w:rPr>
          <w:rFonts w:hAnsi="黑体"/>
          <w:szCs w:val="32"/>
        </w:rPr>
        <w:t>,</w:t>
      </w:r>
      <w:r>
        <w:rPr>
          <w:rFonts w:hint="eastAsia" w:hAnsi="黑体"/>
          <w:szCs w:val="32"/>
        </w:rPr>
        <w:t>行政诉讼或区政府裁决的有关事项。协助配合有关部门查处相关重大案件。</w:t>
      </w:r>
    </w:p>
    <w:p>
      <w:pPr>
        <w:ind w:firstLine="640" w:firstLineChars="200"/>
        <w:rPr>
          <w:rFonts w:hAnsi="黑体"/>
          <w:szCs w:val="32"/>
        </w:rPr>
      </w:pPr>
      <w:r>
        <w:rPr>
          <w:rFonts w:hAnsi="黑体"/>
          <w:szCs w:val="32"/>
        </w:rPr>
        <w:t>(</w:t>
      </w:r>
      <w:r>
        <w:rPr>
          <w:rFonts w:hint="eastAsia" w:hAnsi="黑体"/>
          <w:szCs w:val="32"/>
        </w:rPr>
        <w:t>八</w:t>
      </w:r>
      <w:r>
        <w:rPr>
          <w:rFonts w:hAnsi="黑体"/>
          <w:szCs w:val="32"/>
        </w:rPr>
        <w:t>)</w:t>
      </w:r>
      <w:r>
        <w:rPr>
          <w:rFonts w:hint="eastAsia" w:hAnsi="黑体"/>
          <w:szCs w:val="32"/>
        </w:rPr>
        <w:t>指导和监督内部审计工作</w:t>
      </w:r>
      <w:r>
        <w:rPr>
          <w:rFonts w:hAnsi="黑体"/>
          <w:szCs w:val="32"/>
        </w:rPr>
        <w:t>,</w:t>
      </w:r>
      <w:r>
        <w:rPr>
          <w:rFonts w:hint="eastAsia" w:hAnsi="黑体"/>
          <w:szCs w:val="32"/>
        </w:rPr>
        <w:t>核查社会审计机构对依法属于审计监督对象的单位出具的相关审计报告。</w:t>
      </w:r>
    </w:p>
    <w:p>
      <w:pPr>
        <w:ind w:firstLine="640" w:firstLineChars="200"/>
        <w:rPr>
          <w:rFonts w:hAnsi="黑体"/>
          <w:szCs w:val="32"/>
        </w:rPr>
      </w:pPr>
      <w:r>
        <w:rPr>
          <w:rFonts w:hAnsi="黑体"/>
          <w:szCs w:val="32"/>
        </w:rPr>
        <w:t>(</w:t>
      </w:r>
      <w:r>
        <w:rPr>
          <w:rFonts w:hint="eastAsia" w:hAnsi="黑体"/>
          <w:szCs w:val="32"/>
        </w:rPr>
        <w:t>九</w:t>
      </w:r>
      <w:r>
        <w:rPr>
          <w:rFonts w:hAnsi="黑体"/>
          <w:szCs w:val="32"/>
        </w:rPr>
        <w:t>)</w:t>
      </w:r>
      <w:r>
        <w:rPr>
          <w:rFonts w:hint="eastAsia" w:hAnsi="黑体"/>
          <w:szCs w:val="32"/>
        </w:rPr>
        <w:t>完成区委、区政府交办的其他任务。</w:t>
      </w:r>
    </w:p>
    <w:p>
      <w:pPr>
        <w:ind w:firstLine="640" w:firstLineChars="200"/>
        <w:rPr>
          <w:rFonts w:ascii="黑体" w:hAnsi="黑体" w:eastAsia="黑体"/>
          <w:szCs w:val="32"/>
        </w:rPr>
      </w:pPr>
      <w:r>
        <w:rPr>
          <w:rFonts w:hint="eastAsia" w:ascii="黑体" w:hAnsi="黑体" w:eastAsia="黑体"/>
          <w:szCs w:val="32"/>
        </w:rPr>
        <w:t>二、机构设置情况</w:t>
      </w:r>
    </w:p>
    <w:p>
      <w:pPr>
        <w:ind w:firstLine="640" w:firstLineChars="200"/>
        <w:rPr>
          <w:rFonts w:ascii="仿宋" w:hAnsi="仿宋" w:eastAsia="仿宋"/>
          <w:szCs w:val="32"/>
        </w:rPr>
      </w:pPr>
      <w:r>
        <w:rPr>
          <w:rFonts w:hint="eastAsia" w:ascii="仿宋" w:hAnsi="仿宋" w:eastAsia="仿宋"/>
          <w:szCs w:val="32"/>
        </w:rPr>
        <w:t>根据工作职责及实际工作需要，华龙区审计局部门内设办公室、法规股、计划管理督察股、财政金融监督审计股、行政事业审计股、农业农村生态环境审计股、市政基础设施重点项目投资审计股等</w:t>
      </w:r>
      <w:r>
        <w:rPr>
          <w:rFonts w:ascii="仿宋" w:hAnsi="仿宋" w:eastAsia="仿宋"/>
          <w:szCs w:val="32"/>
        </w:rPr>
        <w:t>7</w:t>
      </w:r>
      <w:r>
        <w:rPr>
          <w:rFonts w:hint="eastAsia" w:ascii="仿宋" w:hAnsi="仿宋" w:eastAsia="仿宋"/>
          <w:szCs w:val="32"/>
        </w:rPr>
        <w:t>个机构，下属经济责任审计中心（参照公务员管理单位），非独立核算。本部门无独立核算的下属预算单位，部门本级预算即汇总预算。</w:t>
      </w:r>
    </w:p>
    <w:p>
      <w:pPr>
        <w:pStyle w:val="6"/>
        <w:topLinePunct/>
        <w:spacing w:before="0" w:beforeAutospacing="0" w:after="0" w:afterAutospacing="0" w:line="360" w:lineRule="auto"/>
        <w:jc w:val="center"/>
        <w:rPr>
          <w:rFonts w:ascii="黑体" w:hAnsi="黑体" w:eastAsia="黑体"/>
          <w:color w:val="000000"/>
          <w:sz w:val="36"/>
          <w:szCs w:val="32"/>
        </w:rPr>
      </w:pPr>
    </w:p>
    <w:p>
      <w:pPr>
        <w:pStyle w:val="6"/>
        <w:topLinePunct/>
        <w:spacing w:before="0" w:beforeAutospacing="0" w:after="0" w:afterAutospacing="0" w:line="360" w:lineRule="auto"/>
        <w:jc w:val="center"/>
        <w:rPr>
          <w:rFonts w:ascii="黑体" w:hAnsi="黑体" w:eastAsia="黑体"/>
          <w:color w:val="000000"/>
          <w:sz w:val="36"/>
          <w:szCs w:val="32"/>
        </w:rPr>
      </w:pPr>
    </w:p>
    <w:p>
      <w:pPr>
        <w:pStyle w:val="6"/>
        <w:topLinePunct/>
        <w:spacing w:before="0" w:beforeAutospacing="0" w:after="0" w:afterAutospacing="0" w:line="360" w:lineRule="auto"/>
        <w:jc w:val="center"/>
        <w:rPr>
          <w:rFonts w:ascii="黑体" w:hAnsi="黑体" w:eastAsia="黑体"/>
          <w:color w:val="000000"/>
          <w:sz w:val="36"/>
          <w:szCs w:val="32"/>
        </w:rPr>
      </w:pPr>
    </w:p>
    <w:p>
      <w:pPr>
        <w:pStyle w:val="6"/>
        <w:topLinePunct/>
        <w:spacing w:before="0" w:beforeAutospacing="0" w:after="0" w:afterAutospacing="0" w:line="360" w:lineRule="auto"/>
        <w:jc w:val="center"/>
        <w:rPr>
          <w:rFonts w:ascii="黑体" w:hAnsi="黑体" w:eastAsia="黑体"/>
          <w:color w:val="000000"/>
          <w:sz w:val="36"/>
          <w:szCs w:val="32"/>
        </w:rPr>
      </w:pPr>
    </w:p>
    <w:p>
      <w:pPr>
        <w:pStyle w:val="6"/>
        <w:topLinePunct/>
        <w:spacing w:before="0" w:beforeAutospacing="0" w:after="0" w:afterAutospacing="0" w:line="360" w:lineRule="auto"/>
        <w:jc w:val="center"/>
        <w:rPr>
          <w:rFonts w:ascii="黑体" w:hAnsi="黑体" w:eastAsia="黑体"/>
          <w:color w:val="000000"/>
          <w:sz w:val="36"/>
          <w:szCs w:val="32"/>
        </w:rPr>
      </w:pPr>
    </w:p>
    <w:p>
      <w:pPr>
        <w:pStyle w:val="6"/>
        <w:topLinePunct/>
        <w:spacing w:before="0" w:beforeAutospacing="0" w:after="0" w:afterAutospacing="0" w:line="360" w:lineRule="auto"/>
        <w:jc w:val="center"/>
        <w:rPr>
          <w:rFonts w:ascii="黑体" w:hAnsi="黑体" w:eastAsia="黑体"/>
          <w:color w:val="000000"/>
          <w:sz w:val="36"/>
          <w:szCs w:val="32"/>
        </w:rPr>
      </w:pPr>
    </w:p>
    <w:p>
      <w:pPr>
        <w:pStyle w:val="6"/>
        <w:topLinePunct/>
        <w:spacing w:before="0" w:beforeAutospacing="0" w:after="0" w:afterAutospacing="0" w:line="360" w:lineRule="auto"/>
        <w:jc w:val="center"/>
        <w:rPr>
          <w:rFonts w:ascii="黑体" w:hAnsi="黑体" w:eastAsia="黑体"/>
          <w:color w:val="000000"/>
          <w:sz w:val="36"/>
          <w:szCs w:val="32"/>
        </w:rPr>
      </w:pPr>
    </w:p>
    <w:p>
      <w:pPr>
        <w:pStyle w:val="6"/>
        <w:topLinePunct/>
        <w:spacing w:before="0" w:beforeAutospacing="0" w:after="0" w:afterAutospacing="0" w:line="360" w:lineRule="auto"/>
        <w:jc w:val="center"/>
        <w:rPr>
          <w:rFonts w:ascii="黑体" w:hAnsi="黑体" w:eastAsia="黑体"/>
          <w:color w:val="000000"/>
          <w:sz w:val="36"/>
          <w:szCs w:val="32"/>
        </w:rPr>
      </w:pPr>
    </w:p>
    <w:p>
      <w:pPr>
        <w:pStyle w:val="6"/>
        <w:topLinePunct/>
        <w:spacing w:before="0" w:beforeAutospacing="0" w:after="0" w:afterAutospacing="0" w:line="360" w:lineRule="auto"/>
        <w:jc w:val="center"/>
        <w:rPr>
          <w:rFonts w:ascii="黑体" w:hAnsi="黑体" w:eastAsia="黑体"/>
          <w:color w:val="000000"/>
          <w:sz w:val="36"/>
          <w:szCs w:val="32"/>
        </w:rPr>
      </w:pPr>
    </w:p>
    <w:p>
      <w:pPr>
        <w:pStyle w:val="6"/>
        <w:topLinePunct/>
        <w:spacing w:before="0" w:beforeAutospacing="0" w:after="0" w:afterAutospacing="0" w:line="360" w:lineRule="auto"/>
        <w:jc w:val="center"/>
        <w:rPr>
          <w:rFonts w:ascii="黑体" w:hAnsi="黑体" w:eastAsia="黑体"/>
          <w:color w:val="000000"/>
          <w:sz w:val="36"/>
          <w:szCs w:val="32"/>
        </w:rPr>
      </w:pPr>
    </w:p>
    <w:p>
      <w:pPr>
        <w:pStyle w:val="6"/>
        <w:topLinePunct/>
        <w:spacing w:before="0" w:beforeAutospacing="0" w:after="0" w:afterAutospacing="0" w:line="360" w:lineRule="auto"/>
        <w:jc w:val="center"/>
        <w:rPr>
          <w:rFonts w:ascii="黑体" w:hAnsi="黑体" w:eastAsia="黑体"/>
          <w:color w:val="000000"/>
          <w:sz w:val="36"/>
          <w:szCs w:val="32"/>
        </w:rPr>
      </w:pPr>
    </w:p>
    <w:p>
      <w:pPr>
        <w:pStyle w:val="6"/>
        <w:topLinePunct/>
        <w:spacing w:before="0" w:beforeAutospacing="0" w:after="0" w:afterAutospacing="0" w:line="360" w:lineRule="auto"/>
        <w:jc w:val="center"/>
        <w:rPr>
          <w:rFonts w:ascii="黑体" w:hAnsi="黑体" w:eastAsia="黑体"/>
          <w:color w:val="000000"/>
          <w:sz w:val="36"/>
          <w:szCs w:val="32"/>
        </w:rPr>
      </w:pPr>
    </w:p>
    <w:p>
      <w:pPr>
        <w:pStyle w:val="6"/>
        <w:topLinePunct/>
        <w:spacing w:before="0" w:beforeAutospacing="0" w:after="0" w:afterAutospacing="0" w:line="360" w:lineRule="auto"/>
        <w:jc w:val="center"/>
        <w:rPr>
          <w:rFonts w:ascii="黑体" w:hAnsi="黑体" w:eastAsia="黑体"/>
          <w:color w:val="000000"/>
          <w:sz w:val="36"/>
          <w:szCs w:val="32"/>
        </w:rPr>
      </w:pPr>
    </w:p>
    <w:p>
      <w:pPr>
        <w:pStyle w:val="6"/>
        <w:topLinePunct/>
        <w:spacing w:before="0" w:beforeAutospacing="0" w:after="0" w:afterAutospacing="0" w:line="360" w:lineRule="auto"/>
        <w:jc w:val="center"/>
        <w:rPr>
          <w:rFonts w:ascii="黑体" w:hAnsi="黑体" w:eastAsia="黑体"/>
          <w:color w:val="000000"/>
          <w:sz w:val="36"/>
          <w:szCs w:val="32"/>
        </w:rPr>
      </w:pPr>
    </w:p>
    <w:p>
      <w:pPr>
        <w:pStyle w:val="6"/>
        <w:topLinePunct/>
        <w:spacing w:before="0" w:beforeAutospacing="0" w:after="0" w:afterAutospacing="0" w:line="360" w:lineRule="auto"/>
        <w:jc w:val="center"/>
        <w:rPr>
          <w:rFonts w:ascii="黑体" w:hAnsi="黑体" w:eastAsia="黑体"/>
          <w:color w:val="000000"/>
          <w:sz w:val="36"/>
          <w:szCs w:val="32"/>
        </w:rPr>
      </w:pPr>
    </w:p>
    <w:p>
      <w:pPr>
        <w:pStyle w:val="6"/>
        <w:topLinePunct/>
        <w:spacing w:before="0" w:beforeAutospacing="0" w:after="0" w:afterAutospacing="0" w:line="360" w:lineRule="auto"/>
        <w:jc w:val="center"/>
        <w:rPr>
          <w:rFonts w:ascii="黑体" w:hAnsi="黑体" w:eastAsia="黑体"/>
          <w:color w:val="000000"/>
          <w:sz w:val="36"/>
          <w:szCs w:val="32"/>
        </w:rPr>
      </w:pPr>
    </w:p>
    <w:p>
      <w:pPr>
        <w:pStyle w:val="6"/>
        <w:topLinePunct/>
        <w:spacing w:before="0" w:beforeAutospacing="0" w:after="0" w:afterAutospacing="0" w:line="360" w:lineRule="auto"/>
        <w:jc w:val="center"/>
        <w:rPr>
          <w:rFonts w:ascii="黑体" w:hAnsi="黑体" w:eastAsia="黑体"/>
          <w:color w:val="000000"/>
          <w:sz w:val="36"/>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第二部分</w:t>
      </w:r>
    </w:p>
    <w:p>
      <w:pPr>
        <w:pStyle w:val="6"/>
        <w:topLinePunct/>
        <w:spacing w:before="0" w:beforeAutospacing="0" w:after="0" w:afterAutospacing="0" w:line="360" w:lineRule="auto"/>
        <w:jc w:val="center"/>
        <w:rPr>
          <w:rFonts w:ascii="Calibri" w:hAnsi="Calibri"/>
          <w:color w:val="000000"/>
          <w:sz w:val="22"/>
          <w:szCs w:val="21"/>
        </w:rPr>
      </w:pPr>
      <w:r>
        <w:rPr>
          <w:rFonts w:ascii="黑体" w:hAnsi="黑体" w:eastAsia="黑体"/>
          <w:color w:val="000000"/>
          <w:sz w:val="36"/>
          <w:szCs w:val="32"/>
        </w:rPr>
        <w:t>2020</w:t>
      </w:r>
      <w:r>
        <w:rPr>
          <w:rFonts w:hint="eastAsia" w:ascii="黑体" w:hAnsi="黑体" w:eastAsia="黑体"/>
          <w:color w:val="000000"/>
          <w:sz w:val="36"/>
          <w:szCs w:val="32"/>
        </w:rPr>
        <w:t>年部门预算情况说明</w:t>
      </w:r>
    </w:p>
    <w:p>
      <w:pPr>
        <w:ind w:firstLine="640" w:firstLineChars="200"/>
        <w:rPr>
          <w:rFonts w:ascii="华文仿宋" w:hAnsi="华文仿宋" w:eastAsia="华文仿宋"/>
          <w:szCs w:val="32"/>
        </w:rPr>
      </w:pPr>
    </w:p>
    <w:p>
      <w:pPr>
        <w:ind w:firstLine="640" w:firstLineChars="200"/>
        <w:rPr>
          <w:rFonts w:ascii="黑体" w:hAnsi="黑体" w:eastAsia="黑体"/>
          <w:szCs w:val="32"/>
        </w:rPr>
      </w:pPr>
      <w:r>
        <w:rPr>
          <w:rFonts w:hint="eastAsia" w:ascii="黑体" w:hAnsi="黑体" w:eastAsia="黑体"/>
          <w:szCs w:val="32"/>
        </w:rPr>
        <w:t>一、本级预算和所属单位预算在内的汇总预算总体情况</w:t>
      </w:r>
    </w:p>
    <w:p>
      <w:pPr>
        <w:ind w:firstLine="640" w:firstLineChars="200"/>
        <w:rPr>
          <w:rFonts w:ascii="仿宋" w:hAnsi="仿宋" w:eastAsia="仿宋"/>
          <w:szCs w:val="32"/>
        </w:rPr>
      </w:pPr>
      <w:r>
        <w:rPr>
          <w:rFonts w:hint="eastAsia" w:ascii="仿宋" w:hAnsi="仿宋" w:eastAsia="仿宋"/>
          <w:szCs w:val="32"/>
        </w:rPr>
        <w:t>本部门无独立核算的下属预算单位，部门本级预算即汇总预算。</w:t>
      </w:r>
      <w:r>
        <w:rPr>
          <w:rFonts w:ascii="仿宋" w:hAnsi="仿宋" w:eastAsia="仿宋"/>
          <w:szCs w:val="32"/>
        </w:rPr>
        <w:t>2020</w:t>
      </w:r>
      <w:r>
        <w:rPr>
          <w:rFonts w:hint="eastAsia" w:ascii="仿宋" w:hAnsi="仿宋" w:eastAsia="仿宋"/>
          <w:szCs w:val="32"/>
        </w:rPr>
        <w:t>年本部门预算收入总计</w:t>
      </w:r>
      <w:r>
        <w:rPr>
          <w:rFonts w:ascii="仿宋" w:hAnsi="仿宋" w:eastAsia="仿宋"/>
          <w:szCs w:val="32"/>
        </w:rPr>
        <w:t>421.83</w:t>
      </w:r>
      <w:r>
        <w:rPr>
          <w:rFonts w:hint="eastAsia" w:ascii="仿宋" w:hAnsi="仿宋" w:eastAsia="仿宋"/>
          <w:szCs w:val="32"/>
        </w:rPr>
        <w:t>万元，支出总计</w:t>
      </w:r>
      <w:r>
        <w:rPr>
          <w:rFonts w:ascii="仿宋" w:hAnsi="仿宋" w:eastAsia="仿宋"/>
          <w:szCs w:val="32"/>
        </w:rPr>
        <w:t>421.83</w:t>
      </w:r>
      <w:r>
        <w:rPr>
          <w:rFonts w:hint="eastAsia" w:ascii="仿宋" w:hAnsi="仿宋" w:eastAsia="仿宋"/>
          <w:szCs w:val="32"/>
        </w:rPr>
        <w:t>万元。</w:t>
      </w:r>
    </w:p>
    <w:p>
      <w:pPr>
        <w:ind w:firstLine="640" w:firstLineChars="200"/>
        <w:rPr>
          <w:rFonts w:ascii="黑体" w:hAnsi="黑体" w:eastAsia="黑体"/>
          <w:szCs w:val="32"/>
        </w:rPr>
      </w:pPr>
      <w:r>
        <w:rPr>
          <w:rFonts w:hint="eastAsia" w:ascii="黑体" w:hAnsi="黑体" w:eastAsia="黑体"/>
          <w:szCs w:val="32"/>
        </w:rPr>
        <w:t>二、部门预算收支增减变动情况</w:t>
      </w:r>
    </w:p>
    <w:p>
      <w:pPr>
        <w:ind w:firstLine="640" w:firstLineChars="200"/>
        <w:rPr>
          <w:rFonts w:ascii="仿宋" w:hAnsi="仿宋" w:eastAsia="仿宋"/>
          <w:szCs w:val="32"/>
        </w:rPr>
      </w:pPr>
      <w:r>
        <w:rPr>
          <w:rFonts w:ascii="仿宋" w:hAnsi="仿宋" w:eastAsia="仿宋"/>
          <w:szCs w:val="32"/>
        </w:rPr>
        <w:t>2020</w:t>
      </w:r>
      <w:r>
        <w:rPr>
          <w:rFonts w:hint="eastAsia" w:ascii="仿宋" w:hAnsi="仿宋" w:eastAsia="仿宋"/>
          <w:szCs w:val="32"/>
        </w:rPr>
        <w:t>年本部门预算收入总计</w:t>
      </w:r>
      <w:r>
        <w:rPr>
          <w:rFonts w:ascii="仿宋" w:hAnsi="仿宋" w:eastAsia="仿宋"/>
          <w:szCs w:val="32"/>
        </w:rPr>
        <w:t>421.83</w:t>
      </w:r>
      <w:r>
        <w:rPr>
          <w:rFonts w:hint="eastAsia" w:ascii="仿宋" w:hAnsi="仿宋" w:eastAsia="仿宋"/>
          <w:szCs w:val="32"/>
        </w:rPr>
        <w:t>万元，支出总计</w:t>
      </w:r>
      <w:r>
        <w:rPr>
          <w:rFonts w:ascii="仿宋" w:hAnsi="仿宋" w:eastAsia="仿宋"/>
          <w:szCs w:val="32"/>
        </w:rPr>
        <w:t>421.83</w:t>
      </w:r>
      <w:r>
        <w:rPr>
          <w:rFonts w:hint="eastAsia" w:ascii="仿宋" w:hAnsi="仿宋" w:eastAsia="仿宋"/>
          <w:szCs w:val="32"/>
        </w:rPr>
        <w:t>万元。其中：基本支出</w:t>
      </w:r>
      <w:r>
        <w:rPr>
          <w:rFonts w:ascii="仿宋" w:hAnsi="仿宋" w:eastAsia="仿宋"/>
          <w:szCs w:val="32"/>
        </w:rPr>
        <w:t>347.83</w:t>
      </w:r>
      <w:r>
        <w:rPr>
          <w:rFonts w:hint="eastAsia" w:ascii="仿宋" w:hAnsi="仿宋" w:eastAsia="仿宋"/>
          <w:szCs w:val="32"/>
        </w:rPr>
        <w:t>万元，占比</w:t>
      </w:r>
      <w:r>
        <w:rPr>
          <w:rFonts w:ascii="仿宋" w:hAnsi="仿宋" w:eastAsia="仿宋"/>
          <w:szCs w:val="32"/>
        </w:rPr>
        <w:t>82.46%</w:t>
      </w:r>
      <w:r>
        <w:rPr>
          <w:rFonts w:hint="eastAsia" w:ascii="仿宋" w:hAnsi="仿宋" w:eastAsia="仿宋"/>
          <w:szCs w:val="32"/>
        </w:rPr>
        <w:t>，项目支出</w:t>
      </w:r>
      <w:r>
        <w:rPr>
          <w:rFonts w:ascii="仿宋" w:hAnsi="仿宋" w:eastAsia="仿宋"/>
          <w:szCs w:val="32"/>
        </w:rPr>
        <w:t>74</w:t>
      </w:r>
      <w:r>
        <w:rPr>
          <w:rFonts w:hint="eastAsia" w:ascii="仿宋" w:hAnsi="仿宋" w:eastAsia="仿宋"/>
          <w:szCs w:val="32"/>
        </w:rPr>
        <w:t>万元，占比</w:t>
      </w:r>
      <w:r>
        <w:rPr>
          <w:rFonts w:ascii="仿宋" w:hAnsi="仿宋" w:eastAsia="仿宋"/>
          <w:szCs w:val="32"/>
        </w:rPr>
        <w:t>17.54%</w:t>
      </w:r>
      <w:r>
        <w:rPr>
          <w:rFonts w:hint="eastAsia" w:ascii="仿宋" w:hAnsi="仿宋" w:eastAsia="仿宋"/>
          <w:szCs w:val="32"/>
        </w:rPr>
        <w:t>。</w:t>
      </w:r>
    </w:p>
    <w:p>
      <w:pPr>
        <w:ind w:firstLine="640" w:firstLineChars="200"/>
        <w:rPr>
          <w:rFonts w:ascii="仿宋" w:hAnsi="仿宋" w:eastAsia="仿宋"/>
          <w:szCs w:val="32"/>
        </w:rPr>
      </w:pPr>
      <w:r>
        <w:rPr>
          <w:rFonts w:ascii="仿宋" w:hAnsi="仿宋" w:eastAsia="仿宋"/>
          <w:szCs w:val="32"/>
        </w:rPr>
        <w:t>2020</w:t>
      </w:r>
      <w:r>
        <w:rPr>
          <w:rFonts w:hint="eastAsia" w:ascii="仿宋" w:hAnsi="仿宋" w:eastAsia="仿宋"/>
          <w:szCs w:val="32"/>
        </w:rPr>
        <w:t>年本部门预算</w:t>
      </w:r>
      <w:r>
        <w:rPr>
          <w:rFonts w:hint="eastAsia" w:ascii="仿宋" w:hAnsi="仿宋" w:eastAsia="仿宋" w:cs="仿宋"/>
          <w:sz w:val="32"/>
          <w:szCs w:val="32"/>
          <w:lang w:val="en-US" w:eastAsia="zh-CN"/>
        </w:rPr>
        <w:t>收入和支出均</w:t>
      </w:r>
      <w:r>
        <w:rPr>
          <w:rFonts w:hint="eastAsia" w:ascii="仿宋" w:hAnsi="仿宋" w:eastAsia="仿宋"/>
          <w:szCs w:val="32"/>
        </w:rPr>
        <w:t>较上年减少</w:t>
      </w:r>
      <w:r>
        <w:rPr>
          <w:rFonts w:ascii="仿宋" w:hAnsi="仿宋" w:eastAsia="仿宋"/>
          <w:szCs w:val="32"/>
        </w:rPr>
        <w:t>43.28</w:t>
      </w:r>
      <w:r>
        <w:rPr>
          <w:rFonts w:hint="eastAsia" w:ascii="仿宋" w:hAnsi="仿宋" w:eastAsia="仿宋"/>
          <w:szCs w:val="32"/>
        </w:rPr>
        <w:t>万元，减少</w:t>
      </w:r>
      <w:r>
        <w:rPr>
          <w:rFonts w:ascii="仿宋" w:hAnsi="仿宋" w:eastAsia="仿宋"/>
          <w:szCs w:val="32"/>
        </w:rPr>
        <w:t>10.26%</w:t>
      </w:r>
      <w:r>
        <w:rPr>
          <w:rFonts w:hint="eastAsia" w:ascii="仿宋" w:hAnsi="仿宋" w:eastAsia="仿宋"/>
          <w:szCs w:val="32"/>
        </w:rPr>
        <w:t>，主要原因是人员退休</w:t>
      </w:r>
      <w:r>
        <w:rPr>
          <w:rFonts w:ascii="仿宋" w:hAnsi="仿宋" w:eastAsia="仿宋"/>
          <w:szCs w:val="32"/>
        </w:rPr>
        <w:t>2</w:t>
      </w:r>
      <w:r>
        <w:rPr>
          <w:rFonts w:hint="eastAsia" w:ascii="仿宋" w:hAnsi="仿宋" w:eastAsia="仿宋"/>
          <w:szCs w:val="32"/>
        </w:rPr>
        <w:t>人调出</w:t>
      </w:r>
      <w:r>
        <w:rPr>
          <w:rFonts w:ascii="仿宋" w:hAnsi="仿宋" w:eastAsia="仿宋"/>
          <w:szCs w:val="32"/>
        </w:rPr>
        <w:t>1</w:t>
      </w:r>
      <w:r>
        <w:rPr>
          <w:rFonts w:hint="eastAsia" w:ascii="仿宋" w:hAnsi="仿宋" w:eastAsia="仿宋"/>
          <w:szCs w:val="32"/>
        </w:rPr>
        <w:t>人，各项费用减少，以及实际工作需要带来的项目支出变动调整。</w:t>
      </w:r>
    </w:p>
    <w:p>
      <w:pPr>
        <w:ind w:firstLine="640" w:firstLineChars="200"/>
        <w:rPr>
          <w:rFonts w:ascii="黑体" w:hAnsi="黑体" w:eastAsia="黑体"/>
          <w:szCs w:val="32"/>
        </w:rPr>
      </w:pPr>
      <w:r>
        <w:rPr>
          <w:rFonts w:hint="eastAsia" w:ascii="黑体" w:hAnsi="黑体" w:eastAsia="黑体"/>
          <w:szCs w:val="32"/>
        </w:rPr>
        <w:t>三、一般公共预算基本支出情况</w:t>
      </w:r>
    </w:p>
    <w:p>
      <w:pPr>
        <w:ind w:firstLine="640" w:firstLineChars="200"/>
        <w:rPr>
          <w:rFonts w:ascii="仿宋" w:hAnsi="仿宋" w:eastAsia="仿宋"/>
          <w:color w:val="FF0000"/>
          <w:szCs w:val="32"/>
        </w:rPr>
      </w:pPr>
      <w:r>
        <w:rPr>
          <w:rFonts w:ascii="仿宋" w:hAnsi="仿宋" w:eastAsia="仿宋"/>
          <w:szCs w:val="32"/>
        </w:rPr>
        <w:t>2020</w:t>
      </w:r>
      <w:r>
        <w:rPr>
          <w:rFonts w:hint="eastAsia" w:ascii="仿宋" w:hAnsi="仿宋" w:eastAsia="仿宋"/>
          <w:szCs w:val="32"/>
        </w:rPr>
        <w:t>年本部门一般公共预算基本支出</w:t>
      </w:r>
      <w:r>
        <w:rPr>
          <w:rFonts w:ascii="仿宋" w:hAnsi="仿宋" w:eastAsia="仿宋"/>
          <w:szCs w:val="32"/>
        </w:rPr>
        <w:t>347.83</w:t>
      </w:r>
      <w:r>
        <w:rPr>
          <w:rFonts w:hint="eastAsia" w:ascii="仿宋" w:hAnsi="仿宋" w:eastAsia="仿宋"/>
          <w:szCs w:val="32"/>
        </w:rPr>
        <w:t>万元，其中：人员经费</w:t>
      </w:r>
      <w:r>
        <w:rPr>
          <w:rFonts w:ascii="仿宋" w:hAnsi="仿宋" w:eastAsia="仿宋"/>
          <w:szCs w:val="32"/>
        </w:rPr>
        <w:t>340.03</w:t>
      </w:r>
      <w:r>
        <w:rPr>
          <w:rFonts w:hint="eastAsia" w:ascii="仿宋" w:hAnsi="仿宋" w:eastAsia="仿宋"/>
          <w:szCs w:val="32"/>
        </w:rPr>
        <w:t>万元，主要包括：基本工资</w:t>
      </w:r>
      <w:r>
        <w:rPr>
          <w:rFonts w:ascii="仿宋" w:hAnsi="仿宋" w:eastAsia="仿宋"/>
          <w:szCs w:val="32"/>
        </w:rPr>
        <w:t>232.89</w:t>
      </w:r>
      <w:r>
        <w:rPr>
          <w:rFonts w:hint="eastAsia" w:ascii="仿宋" w:hAnsi="仿宋" w:eastAsia="仿宋"/>
          <w:szCs w:val="32"/>
        </w:rPr>
        <w:t>万元、绩效工资</w:t>
      </w:r>
      <w:r>
        <w:rPr>
          <w:rFonts w:ascii="仿宋" w:hAnsi="仿宋" w:eastAsia="仿宋"/>
          <w:szCs w:val="32"/>
        </w:rPr>
        <w:t>11.91</w:t>
      </w:r>
      <w:r>
        <w:rPr>
          <w:rFonts w:hint="eastAsia" w:ascii="仿宋" w:hAnsi="仿宋" w:eastAsia="仿宋"/>
          <w:szCs w:val="32"/>
        </w:rPr>
        <w:t>万元、机关事业单位基本养老保险缴费</w:t>
      </w:r>
      <w:r>
        <w:rPr>
          <w:rFonts w:ascii="仿宋" w:hAnsi="仿宋" w:eastAsia="仿宋"/>
          <w:szCs w:val="32"/>
        </w:rPr>
        <w:t>42.44</w:t>
      </w:r>
      <w:r>
        <w:rPr>
          <w:rFonts w:hint="eastAsia" w:ascii="仿宋" w:hAnsi="仿宋" w:eastAsia="仿宋"/>
          <w:szCs w:val="32"/>
        </w:rPr>
        <w:t>万元、医疗保险缴费</w:t>
      </w:r>
      <w:r>
        <w:rPr>
          <w:rFonts w:ascii="仿宋" w:hAnsi="仿宋" w:eastAsia="仿宋"/>
          <w:szCs w:val="32"/>
        </w:rPr>
        <w:t>17.24</w:t>
      </w:r>
      <w:r>
        <w:rPr>
          <w:rFonts w:hint="eastAsia" w:ascii="仿宋" w:hAnsi="仿宋" w:eastAsia="仿宋"/>
          <w:szCs w:val="32"/>
        </w:rPr>
        <w:t>万元、其他社会保障缴费</w:t>
      </w:r>
      <w:r>
        <w:rPr>
          <w:rFonts w:ascii="仿宋" w:hAnsi="仿宋" w:eastAsia="仿宋"/>
          <w:szCs w:val="32"/>
        </w:rPr>
        <w:t>3.23</w:t>
      </w:r>
      <w:r>
        <w:rPr>
          <w:rFonts w:hint="eastAsia" w:ascii="仿宋" w:hAnsi="仿宋" w:eastAsia="仿宋"/>
          <w:szCs w:val="32"/>
        </w:rPr>
        <w:t>万元、住房公积金</w:t>
      </w:r>
      <w:r>
        <w:rPr>
          <w:rFonts w:ascii="仿宋" w:hAnsi="仿宋" w:eastAsia="仿宋"/>
          <w:szCs w:val="32"/>
        </w:rPr>
        <w:t>29.38</w:t>
      </w:r>
      <w:r>
        <w:rPr>
          <w:rFonts w:hint="eastAsia" w:ascii="仿宋" w:hAnsi="仿宋" w:eastAsia="仿宋"/>
          <w:szCs w:val="32"/>
        </w:rPr>
        <w:t>万元、退休费</w:t>
      </w:r>
      <w:r>
        <w:rPr>
          <w:rFonts w:ascii="仿宋" w:hAnsi="仿宋" w:eastAsia="仿宋"/>
          <w:szCs w:val="32"/>
        </w:rPr>
        <w:t>1.44</w:t>
      </w:r>
      <w:r>
        <w:rPr>
          <w:rFonts w:hint="eastAsia" w:ascii="仿宋" w:hAnsi="仿宋" w:eastAsia="仿宋"/>
          <w:szCs w:val="32"/>
        </w:rPr>
        <w:t>万元、抚恤金</w:t>
      </w:r>
      <w:r>
        <w:rPr>
          <w:rFonts w:ascii="仿宋" w:hAnsi="仿宋" w:eastAsia="仿宋"/>
          <w:szCs w:val="32"/>
        </w:rPr>
        <w:t>1.5</w:t>
      </w:r>
      <w:r>
        <w:rPr>
          <w:rFonts w:hint="eastAsia" w:ascii="仿宋" w:hAnsi="仿宋" w:eastAsia="仿宋"/>
          <w:szCs w:val="32"/>
        </w:rPr>
        <w:t>万元；公用经费</w:t>
      </w:r>
      <w:r>
        <w:rPr>
          <w:rFonts w:ascii="仿宋" w:hAnsi="仿宋" w:eastAsia="仿宋"/>
          <w:szCs w:val="32"/>
        </w:rPr>
        <w:t>7.8</w:t>
      </w:r>
      <w:r>
        <w:rPr>
          <w:rFonts w:hint="eastAsia" w:ascii="仿宋" w:hAnsi="仿宋" w:eastAsia="仿宋"/>
          <w:szCs w:val="32"/>
        </w:rPr>
        <w:t>万元，主要包括：办公费</w:t>
      </w:r>
      <w:r>
        <w:rPr>
          <w:rFonts w:ascii="仿宋" w:hAnsi="仿宋" w:eastAsia="仿宋"/>
          <w:szCs w:val="32"/>
        </w:rPr>
        <w:t>5</w:t>
      </w:r>
      <w:r>
        <w:rPr>
          <w:rFonts w:hint="eastAsia" w:ascii="仿宋" w:hAnsi="仿宋" w:eastAsia="仿宋"/>
          <w:szCs w:val="32"/>
        </w:rPr>
        <w:t>万元、维修（护）费</w:t>
      </w:r>
      <w:r>
        <w:rPr>
          <w:rFonts w:ascii="仿宋" w:hAnsi="仿宋" w:eastAsia="仿宋"/>
          <w:szCs w:val="32"/>
        </w:rPr>
        <w:t>0.8</w:t>
      </w:r>
      <w:r>
        <w:rPr>
          <w:rFonts w:hint="eastAsia" w:ascii="仿宋" w:hAnsi="仿宋" w:eastAsia="仿宋"/>
          <w:szCs w:val="32"/>
        </w:rPr>
        <w:t>万元、公务用车运行维护费</w:t>
      </w:r>
      <w:r>
        <w:rPr>
          <w:rFonts w:ascii="仿宋" w:hAnsi="仿宋" w:eastAsia="仿宋"/>
          <w:szCs w:val="32"/>
        </w:rPr>
        <w:t>2</w:t>
      </w:r>
      <w:r>
        <w:rPr>
          <w:rFonts w:hint="eastAsia" w:ascii="仿宋" w:hAnsi="仿宋" w:eastAsia="仿宋"/>
          <w:szCs w:val="32"/>
        </w:rPr>
        <w:t>万元</w:t>
      </w:r>
      <w:r>
        <w:rPr>
          <w:rFonts w:hint="eastAsia" w:ascii="仿宋" w:hAnsi="仿宋" w:eastAsia="仿宋"/>
          <w:szCs w:val="32"/>
          <w:lang w:val="en-US" w:eastAsia="zh-CN"/>
        </w:rPr>
        <w:t>等</w:t>
      </w:r>
      <w:r>
        <w:rPr>
          <w:rFonts w:hint="eastAsia" w:ascii="仿宋" w:hAnsi="仿宋" w:eastAsia="仿宋"/>
          <w:szCs w:val="32"/>
        </w:rPr>
        <w:t>。</w:t>
      </w:r>
    </w:p>
    <w:p>
      <w:pPr>
        <w:ind w:firstLine="640" w:firstLineChars="200"/>
        <w:rPr>
          <w:rFonts w:ascii="黑体" w:hAnsi="黑体" w:eastAsia="黑体"/>
          <w:szCs w:val="32"/>
        </w:rPr>
      </w:pPr>
      <w:r>
        <w:rPr>
          <w:rFonts w:hint="eastAsia" w:ascii="黑体" w:hAnsi="黑体" w:eastAsia="黑体"/>
          <w:szCs w:val="32"/>
        </w:rPr>
        <w:t>四、机关运行经费安排情况</w:t>
      </w:r>
    </w:p>
    <w:p>
      <w:pPr>
        <w:ind w:firstLine="640" w:firstLineChars="200"/>
        <w:rPr>
          <w:rFonts w:ascii="仿宋" w:hAnsi="仿宋" w:eastAsia="仿宋"/>
          <w:szCs w:val="32"/>
        </w:rPr>
      </w:pPr>
      <w:r>
        <w:rPr>
          <w:rFonts w:ascii="仿宋" w:hAnsi="仿宋" w:eastAsia="仿宋"/>
          <w:szCs w:val="32"/>
        </w:rPr>
        <w:t>2020</w:t>
      </w:r>
      <w:r>
        <w:rPr>
          <w:rFonts w:hint="eastAsia" w:ascii="仿宋" w:hAnsi="仿宋" w:eastAsia="仿宋"/>
          <w:szCs w:val="32"/>
        </w:rPr>
        <w:t>年本部门机关运行经费安排</w:t>
      </w:r>
      <w:r>
        <w:rPr>
          <w:rFonts w:ascii="仿宋" w:hAnsi="仿宋" w:eastAsia="仿宋"/>
          <w:szCs w:val="32"/>
        </w:rPr>
        <w:t>7.8</w:t>
      </w:r>
      <w:r>
        <w:rPr>
          <w:rFonts w:hint="eastAsia" w:ascii="仿宋" w:hAnsi="仿宋" w:eastAsia="仿宋"/>
          <w:szCs w:val="32"/>
        </w:rPr>
        <w:t>万元，主要用于保障机关机构正常运转及正常履职需要的办公费、维修（护）费、公务用车运行维护费</w:t>
      </w:r>
      <w:r>
        <w:rPr>
          <w:rFonts w:hint="eastAsia" w:ascii="仿宋" w:hAnsi="仿宋" w:eastAsia="仿宋"/>
          <w:szCs w:val="32"/>
          <w:lang w:val="en-US" w:eastAsia="zh-CN"/>
        </w:rPr>
        <w:t>等方面</w:t>
      </w:r>
      <w:r>
        <w:rPr>
          <w:rFonts w:hint="eastAsia" w:ascii="仿宋" w:hAnsi="仿宋" w:eastAsia="仿宋"/>
          <w:szCs w:val="32"/>
        </w:rPr>
        <w:t>，比上年减少</w:t>
      </w:r>
      <w:r>
        <w:rPr>
          <w:rFonts w:ascii="仿宋" w:hAnsi="仿宋" w:eastAsia="仿宋"/>
          <w:szCs w:val="32"/>
        </w:rPr>
        <w:t>0.2</w:t>
      </w:r>
      <w:r>
        <w:rPr>
          <w:rFonts w:hint="eastAsia" w:ascii="仿宋" w:hAnsi="仿宋" w:eastAsia="仿宋"/>
          <w:szCs w:val="32"/>
        </w:rPr>
        <w:t>万元，减少</w:t>
      </w:r>
      <w:r>
        <w:rPr>
          <w:rFonts w:ascii="仿宋" w:hAnsi="仿宋" w:eastAsia="仿宋"/>
          <w:szCs w:val="32"/>
        </w:rPr>
        <w:t>2.6%</w:t>
      </w:r>
      <w:r>
        <w:rPr>
          <w:rFonts w:hint="eastAsia" w:ascii="仿宋" w:hAnsi="仿宋" w:eastAsia="仿宋"/>
          <w:szCs w:val="32"/>
        </w:rPr>
        <w:t>，主要原因是人员减少和执行中央八项规定精神。</w:t>
      </w:r>
    </w:p>
    <w:p>
      <w:pPr>
        <w:ind w:firstLine="640" w:firstLineChars="200"/>
        <w:rPr>
          <w:rFonts w:ascii="黑体" w:hAnsi="黑体" w:eastAsia="黑体"/>
          <w:szCs w:val="32"/>
        </w:rPr>
      </w:pPr>
      <w:r>
        <w:rPr>
          <w:rFonts w:hint="eastAsia" w:ascii="黑体" w:hAnsi="黑体" w:eastAsia="黑体"/>
          <w:szCs w:val="32"/>
        </w:rPr>
        <w:t>五、“三公”经费安排情况</w:t>
      </w:r>
    </w:p>
    <w:p>
      <w:pPr>
        <w:ind w:firstLine="640" w:firstLineChars="200"/>
        <w:rPr>
          <w:rFonts w:ascii="仿宋" w:hAnsi="仿宋" w:eastAsia="仿宋"/>
          <w:szCs w:val="32"/>
        </w:rPr>
      </w:pPr>
      <w:r>
        <w:rPr>
          <w:rFonts w:ascii="仿宋" w:hAnsi="仿宋" w:eastAsia="仿宋"/>
          <w:szCs w:val="32"/>
        </w:rPr>
        <w:t>2020</w:t>
      </w:r>
      <w:r>
        <w:rPr>
          <w:rFonts w:hint="eastAsia" w:ascii="仿宋" w:hAnsi="仿宋" w:eastAsia="仿宋"/>
          <w:szCs w:val="32"/>
        </w:rPr>
        <w:t>年本部门“三公”经费预算</w:t>
      </w:r>
      <w:r>
        <w:rPr>
          <w:rFonts w:ascii="仿宋" w:hAnsi="仿宋" w:eastAsia="仿宋"/>
          <w:szCs w:val="32"/>
        </w:rPr>
        <w:t>6</w:t>
      </w:r>
      <w:r>
        <w:rPr>
          <w:rFonts w:hint="eastAsia" w:ascii="仿宋" w:hAnsi="仿宋" w:eastAsia="仿宋"/>
          <w:szCs w:val="32"/>
        </w:rPr>
        <w:t>万元，因</w:t>
      </w:r>
      <w:r>
        <w:rPr>
          <w:rFonts w:ascii="仿宋" w:hAnsi="仿宋" w:eastAsia="仿宋"/>
          <w:szCs w:val="32"/>
        </w:rPr>
        <w:t>2018</w:t>
      </w:r>
      <w:r>
        <w:rPr>
          <w:rFonts w:hint="eastAsia" w:ascii="仿宋" w:hAnsi="仿宋" w:eastAsia="仿宋"/>
          <w:szCs w:val="32"/>
        </w:rPr>
        <w:t>年本部门“三公”经费结余</w:t>
      </w:r>
      <w:r>
        <w:rPr>
          <w:rFonts w:ascii="仿宋" w:hAnsi="仿宋" w:eastAsia="仿宋"/>
          <w:szCs w:val="32"/>
        </w:rPr>
        <w:t>3.5</w:t>
      </w:r>
      <w:r>
        <w:rPr>
          <w:rFonts w:hint="eastAsia" w:ascii="仿宋" w:hAnsi="仿宋" w:eastAsia="仿宋"/>
          <w:szCs w:val="32"/>
        </w:rPr>
        <w:t>万元，</w:t>
      </w:r>
      <w:r>
        <w:rPr>
          <w:rFonts w:ascii="仿宋" w:hAnsi="仿宋" w:eastAsia="仿宋"/>
          <w:szCs w:val="32"/>
        </w:rPr>
        <w:t>2019</w:t>
      </w:r>
      <w:r>
        <w:rPr>
          <w:rFonts w:hint="eastAsia" w:ascii="仿宋" w:hAnsi="仿宋" w:eastAsia="仿宋"/>
          <w:szCs w:val="32"/>
        </w:rPr>
        <w:t>年未申请“三公”经费，今年放管服等重大政策措施跟踪审计和省厅统一组织的审计项目增加，主要原因是公务用车运行的费用增加。</w:t>
      </w:r>
    </w:p>
    <w:p>
      <w:pPr>
        <w:ind w:firstLine="640" w:firstLineChars="200"/>
        <w:rPr>
          <w:rFonts w:ascii="仿宋" w:hAnsi="仿宋" w:eastAsia="仿宋"/>
          <w:szCs w:val="32"/>
        </w:rPr>
      </w:pPr>
      <w:r>
        <w:rPr>
          <w:rFonts w:ascii="仿宋" w:hAnsi="仿宋" w:eastAsia="仿宋"/>
          <w:szCs w:val="32"/>
        </w:rPr>
        <w:t>1.</w:t>
      </w:r>
      <w:r>
        <w:rPr>
          <w:rFonts w:hint="eastAsia" w:ascii="仿宋" w:hAnsi="仿宋" w:eastAsia="仿宋"/>
          <w:szCs w:val="32"/>
        </w:rPr>
        <w:t>因公出国（境）费</w:t>
      </w:r>
      <w:r>
        <w:rPr>
          <w:rFonts w:ascii="仿宋" w:hAnsi="仿宋" w:eastAsia="仿宋"/>
          <w:szCs w:val="32"/>
        </w:rPr>
        <w:t>0</w:t>
      </w:r>
      <w:r>
        <w:rPr>
          <w:rFonts w:hint="eastAsia" w:ascii="仿宋" w:hAnsi="仿宋" w:eastAsia="仿宋"/>
          <w:szCs w:val="32"/>
        </w:rPr>
        <w:t>万元；</w:t>
      </w:r>
      <w:r>
        <w:rPr>
          <w:rFonts w:ascii="仿宋" w:hAnsi="仿宋" w:eastAsia="仿宋"/>
          <w:szCs w:val="32"/>
        </w:rPr>
        <w:t xml:space="preserve"> </w:t>
      </w:r>
    </w:p>
    <w:p>
      <w:pPr>
        <w:ind w:firstLine="640" w:firstLineChars="200"/>
        <w:rPr>
          <w:rFonts w:ascii="仿宋" w:hAnsi="仿宋" w:eastAsia="仿宋"/>
          <w:szCs w:val="32"/>
        </w:rPr>
      </w:pPr>
      <w:r>
        <w:rPr>
          <w:rFonts w:ascii="仿宋" w:hAnsi="仿宋" w:eastAsia="仿宋"/>
          <w:szCs w:val="32"/>
        </w:rPr>
        <w:t>2.</w:t>
      </w:r>
      <w:r>
        <w:rPr>
          <w:rFonts w:hint="eastAsia" w:ascii="仿宋" w:hAnsi="仿宋" w:eastAsia="仿宋"/>
          <w:szCs w:val="32"/>
        </w:rPr>
        <w:t>公务用车购置及运行费</w:t>
      </w:r>
      <w:r>
        <w:rPr>
          <w:rFonts w:ascii="仿宋" w:hAnsi="仿宋" w:eastAsia="仿宋"/>
          <w:szCs w:val="32"/>
        </w:rPr>
        <w:t>6</w:t>
      </w:r>
      <w:r>
        <w:rPr>
          <w:rFonts w:hint="eastAsia" w:ascii="仿宋" w:hAnsi="仿宋" w:eastAsia="仿宋"/>
          <w:szCs w:val="32"/>
        </w:rPr>
        <w:t>万元，其中：公务用车购置</w:t>
      </w:r>
      <w:r>
        <w:rPr>
          <w:rFonts w:ascii="仿宋" w:hAnsi="仿宋" w:eastAsia="仿宋"/>
          <w:szCs w:val="32"/>
        </w:rPr>
        <w:t>0</w:t>
      </w:r>
      <w:r>
        <w:rPr>
          <w:rFonts w:hint="eastAsia" w:ascii="仿宋" w:hAnsi="仿宋" w:eastAsia="仿宋"/>
          <w:szCs w:val="32"/>
        </w:rPr>
        <w:t>万元，公务用车运行费</w:t>
      </w:r>
      <w:r>
        <w:rPr>
          <w:rFonts w:ascii="仿宋" w:hAnsi="仿宋" w:eastAsia="仿宋"/>
          <w:szCs w:val="32"/>
        </w:rPr>
        <w:t>6</w:t>
      </w:r>
      <w:r>
        <w:rPr>
          <w:rFonts w:hint="eastAsia" w:ascii="仿宋" w:hAnsi="仿宋" w:eastAsia="仿宋"/>
          <w:szCs w:val="32"/>
        </w:rPr>
        <w:t>万元。</w:t>
      </w:r>
    </w:p>
    <w:p>
      <w:pPr>
        <w:ind w:firstLine="640" w:firstLineChars="200"/>
        <w:rPr>
          <w:rFonts w:ascii="仿宋" w:hAnsi="仿宋" w:eastAsia="仿宋"/>
          <w:szCs w:val="32"/>
        </w:rPr>
      </w:pPr>
      <w:r>
        <w:rPr>
          <w:rFonts w:ascii="仿宋" w:hAnsi="仿宋" w:eastAsia="仿宋"/>
          <w:szCs w:val="32"/>
        </w:rPr>
        <w:t>3.</w:t>
      </w:r>
      <w:r>
        <w:rPr>
          <w:rFonts w:hint="eastAsia" w:ascii="仿宋" w:hAnsi="仿宋" w:eastAsia="仿宋"/>
          <w:szCs w:val="32"/>
        </w:rPr>
        <w:t>公务接待费</w:t>
      </w:r>
      <w:r>
        <w:rPr>
          <w:rFonts w:ascii="仿宋" w:hAnsi="仿宋" w:eastAsia="仿宋"/>
          <w:szCs w:val="32"/>
        </w:rPr>
        <w:t>0</w:t>
      </w:r>
      <w:r>
        <w:rPr>
          <w:rFonts w:hint="eastAsia" w:ascii="仿宋" w:hAnsi="仿宋" w:eastAsia="仿宋"/>
          <w:szCs w:val="32"/>
        </w:rPr>
        <w:t>万元。</w:t>
      </w:r>
    </w:p>
    <w:p>
      <w:pPr>
        <w:ind w:firstLine="640" w:firstLineChars="200"/>
        <w:rPr>
          <w:rFonts w:ascii="仿宋" w:hAnsi="仿宋" w:eastAsia="仿宋"/>
          <w:szCs w:val="32"/>
        </w:rPr>
      </w:pPr>
      <w:r>
        <w:rPr>
          <w:rFonts w:hint="eastAsia" w:ascii="黑体" w:hAnsi="黑体" w:eastAsia="黑体"/>
          <w:szCs w:val="32"/>
        </w:rPr>
        <w:t>六、政府采购安排情况</w:t>
      </w:r>
    </w:p>
    <w:p>
      <w:pPr>
        <w:ind w:firstLine="640" w:firstLineChars="200"/>
        <w:rPr>
          <w:rFonts w:ascii="仿宋" w:hAnsi="仿宋" w:eastAsia="仿宋"/>
          <w:szCs w:val="32"/>
        </w:rPr>
      </w:pPr>
      <w:r>
        <w:rPr>
          <w:rFonts w:ascii="仿宋" w:hAnsi="仿宋" w:eastAsia="仿宋"/>
          <w:szCs w:val="32"/>
        </w:rPr>
        <w:t>2020</w:t>
      </w:r>
      <w:r>
        <w:rPr>
          <w:rFonts w:hint="eastAsia" w:ascii="仿宋" w:hAnsi="仿宋" w:eastAsia="仿宋"/>
          <w:szCs w:val="32"/>
        </w:rPr>
        <w:t>年本部门无政府采购预算安排。</w:t>
      </w:r>
    </w:p>
    <w:p>
      <w:pPr>
        <w:ind w:firstLine="640" w:firstLineChars="200"/>
        <w:rPr>
          <w:rFonts w:ascii="黑体" w:hAnsi="黑体" w:eastAsia="黑体"/>
          <w:szCs w:val="32"/>
        </w:rPr>
      </w:pPr>
      <w:r>
        <w:rPr>
          <w:rFonts w:hint="eastAsia" w:ascii="黑体" w:hAnsi="黑体" w:eastAsia="黑体"/>
          <w:szCs w:val="32"/>
        </w:rPr>
        <w:t>七、政府性基金预算安排情况</w:t>
      </w:r>
    </w:p>
    <w:p>
      <w:pPr>
        <w:ind w:firstLine="640" w:firstLineChars="200"/>
        <w:rPr>
          <w:rFonts w:hint="default" w:ascii="仿宋" w:hAnsi="仿宋" w:eastAsia="仿宋" w:cs="仿宋"/>
          <w:sz w:val="32"/>
          <w:szCs w:val="32"/>
          <w:lang w:val="en-US" w:eastAsia="zh-CN"/>
        </w:rPr>
      </w:pPr>
      <w:bookmarkStart w:id="0" w:name="_GoBack"/>
      <w:bookmarkEnd w:id="0"/>
      <w:r>
        <w:rPr>
          <w:rFonts w:hint="eastAsia" w:ascii="仿宋" w:hAnsi="仿宋" w:eastAsia="仿宋" w:cs="仿宋"/>
          <w:sz w:val="32"/>
          <w:szCs w:val="32"/>
          <w:lang w:val="en-US" w:eastAsia="zh-CN"/>
        </w:rPr>
        <w:t>本部门无政府性基金预算收支安排，较上年无变动。</w:t>
      </w:r>
    </w:p>
    <w:p>
      <w:pPr>
        <w:ind w:firstLine="640" w:firstLineChars="200"/>
        <w:rPr>
          <w:rFonts w:ascii="黑体" w:hAnsi="黑体" w:eastAsia="黑体"/>
          <w:szCs w:val="32"/>
        </w:rPr>
      </w:pPr>
      <w:r>
        <w:rPr>
          <w:rFonts w:hint="eastAsia" w:ascii="黑体" w:hAnsi="黑体" w:eastAsia="黑体"/>
          <w:szCs w:val="32"/>
        </w:rPr>
        <w:t>八、国有资产占用情况</w:t>
      </w:r>
    </w:p>
    <w:p>
      <w:pPr>
        <w:ind w:firstLine="640" w:firstLineChars="200"/>
        <w:rPr>
          <w:rFonts w:ascii="仿宋" w:hAnsi="仿宋" w:eastAsia="仿宋"/>
          <w:szCs w:val="32"/>
        </w:rPr>
      </w:pPr>
      <w:r>
        <w:rPr>
          <w:rFonts w:hint="eastAsia" w:ascii="仿宋" w:hAnsi="仿宋" w:eastAsia="仿宋"/>
          <w:szCs w:val="32"/>
        </w:rPr>
        <w:t>截止</w:t>
      </w:r>
      <w:r>
        <w:rPr>
          <w:rFonts w:ascii="仿宋" w:hAnsi="仿宋" w:eastAsia="仿宋"/>
          <w:szCs w:val="32"/>
        </w:rPr>
        <w:t>2019</w:t>
      </w:r>
      <w:r>
        <w:rPr>
          <w:rFonts w:hint="eastAsia" w:ascii="仿宋" w:hAnsi="仿宋" w:eastAsia="仿宋"/>
          <w:szCs w:val="32"/>
        </w:rPr>
        <w:t>年末，本部门共有：房屋建筑物</w:t>
      </w:r>
      <w:r>
        <w:rPr>
          <w:rFonts w:ascii="仿宋" w:hAnsi="仿宋" w:eastAsia="仿宋"/>
          <w:szCs w:val="32"/>
        </w:rPr>
        <w:t>655.80</w:t>
      </w:r>
      <w:r>
        <w:rPr>
          <w:rFonts w:hint="eastAsia" w:ascii="仿宋" w:hAnsi="仿宋" w:eastAsia="仿宋"/>
          <w:szCs w:val="32"/>
        </w:rPr>
        <w:t>㎡；车辆</w:t>
      </w:r>
      <w:r>
        <w:rPr>
          <w:rFonts w:ascii="仿宋" w:hAnsi="仿宋" w:eastAsia="仿宋"/>
          <w:szCs w:val="32"/>
        </w:rPr>
        <w:t>1</w:t>
      </w:r>
      <w:r>
        <w:rPr>
          <w:rFonts w:hint="eastAsia" w:ascii="仿宋" w:hAnsi="仿宋" w:eastAsia="仿宋"/>
          <w:szCs w:val="32"/>
        </w:rPr>
        <w:t>辆，其中：一般公务用车</w:t>
      </w:r>
      <w:r>
        <w:rPr>
          <w:rFonts w:ascii="仿宋" w:hAnsi="仿宋" w:eastAsia="仿宋"/>
          <w:szCs w:val="32"/>
        </w:rPr>
        <w:t>1</w:t>
      </w:r>
      <w:r>
        <w:rPr>
          <w:rFonts w:hint="eastAsia" w:ascii="仿宋" w:hAnsi="仿宋" w:eastAsia="仿宋"/>
          <w:szCs w:val="32"/>
        </w:rPr>
        <w:t>辆、一般执法执勤用车</w:t>
      </w:r>
      <w:r>
        <w:rPr>
          <w:rFonts w:ascii="仿宋" w:hAnsi="仿宋" w:eastAsia="仿宋"/>
          <w:szCs w:val="32"/>
        </w:rPr>
        <w:t>0</w:t>
      </w:r>
      <w:r>
        <w:rPr>
          <w:rFonts w:hint="eastAsia" w:ascii="仿宋" w:hAnsi="仿宋" w:eastAsia="仿宋"/>
          <w:szCs w:val="32"/>
        </w:rPr>
        <w:t>辆、特种专业技术用车</w:t>
      </w:r>
      <w:r>
        <w:rPr>
          <w:rFonts w:ascii="仿宋" w:hAnsi="仿宋" w:eastAsia="仿宋"/>
          <w:szCs w:val="32"/>
        </w:rPr>
        <w:t>0</w:t>
      </w:r>
      <w:r>
        <w:rPr>
          <w:rFonts w:hint="eastAsia" w:ascii="仿宋" w:hAnsi="仿宋" w:eastAsia="仿宋"/>
          <w:szCs w:val="32"/>
        </w:rPr>
        <w:t>辆，其他用车</w:t>
      </w:r>
      <w:r>
        <w:rPr>
          <w:rFonts w:ascii="仿宋" w:hAnsi="仿宋" w:eastAsia="仿宋"/>
          <w:szCs w:val="32"/>
        </w:rPr>
        <w:t>0</w:t>
      </w:r>
      <w:r>
        <w:rPr>
          <w:rFonts w:hint="eastAsia" w:ascii="仿宋" w:hAnsi="仿宋" w:eastAsia="仿宋"/>
          <w:szCs w:val="32"/>
        </w:rPr>
        <w:t>辆，单位价值</w:t>
      </w:r>
      <w:r>
        <w:rPr>
          <w:rFonts w:ascii="仿宋" w:hAnsi="仿宋" w:eastAsia="仿宋"/>
          <w:szCs w:val="32"/>
        </w:rPr>
        <w:t>50</w:t>
      </w:r>
      <w:r>
        <w:rPr>
          <w:rFonts w:hint="eastAsia" w:ascii="仿宋" w:hAnsi="仿宋" w:eastAsia="仿宋"/>
          <w:szCs w:val="32"/>
        </w:rPr>
        <w:t>万元以上通用设备</w:t>
      </w:r>
      <w:r>
        <w:rPr>
          <w:rFonts w:ascii="仿宋" w:hAnsi="仿宋" w:eastAsia="仿宋"/>
          <w:szCs w:val="32"/>
        </w:rPr>
        <w:t>0</w:t>
      </w:r>
      <w:r>
        <w:rPr>
          <w:rFonts w:hint="eastAsia" w:ascii="仿宋" w:hAnsi="仿宋" w:eastAsia="仿宋"/>
          <w:szCs w:val="32"/>
        </w:rPr>
        <w:t>台（套），单位价值</w:t>
      </w:r>
      <w:r>
        <w:rPr>
          <w:rFonts w:ascii="仿宋" w:hAnsi="仿宋" w:eastAsia="仿宋"/>
          <w:szCs w:val="32"/>
        </w:rPr>
        <w:t>100</w:t>
      </w:r>
      <w:r>
        <w:rPr>
          <w:rFonts w:hint="eastAsia" w:ascii="仿宋" w:hAnsi="仿宋" w:eastAsia="仿宋"/>
          <w:szCs w:val="32"/>
        </w:rPr>
        <w:t>万元以上专用设备</w:t>
      </w:r>
      <w:r>
        <w:rPr>
          <w:rFonts w:ascii="仿宋" w:hAnsi="仿宋" w:eastAsia="仿宋"/>
          <w:szCs w:val="32"/>
        </w:rPr>
        <w:t>0</w:t>
      </w:r>
      <w:r>
        <w:rPr>
          <w:rFonts w:hint="eastAsia" w:ascii="仿宋" w:hAnsi="仿宋" w:eastAsia="仿宋"/>
          <w:szCs w:val="32"/>
        </w:rPr>
        <w:t>台（套）。</w:t>
      </w:r>
    </w:p>
    <w:p>
      <w:pPr>
        <w:ind w:firstLine="640" w:firstLineChars="200"/>
        <w:rPr>
          <w:rFonts w:ascii="黑体" w:hAnsi="黑体" w:eastAsia="黑体"/>
          <w:szCs w:val="32"/>
        </w:rPr>
      </w:pPr>
      <w:r>
        <w:rPr>
          <w:rFonts w:hint="eastAsia" w:ascii="黑体" w:hAnsi="黑体" w:eastAsia="黑体"/>
          <w:szCs w:val="32"/>
        </w:rPr>
        <w:t>九、预算绩效管理工作开展情况</w:t>
      </w:r>
    </w:p>
    <w:p>
      <w:pPr>
        <w:ind w:firstLine="640" w:firstLineChars="200"/>
        <w:rPr>
          <w:rFonts w:ascii="仿宋" w:hAnsi="仿宋" w:eastAsia="仿宋"/>
          <w:szCs w:val="32"/>
        </w:rPr>
      </w:pPr>
      <w:r>
        <w:rPr>
          <w:rFonts w:hint="eastAsia" w:ascii="仿宋" w:hAnsi="仿宋" w:eastAsia="仿宋"/>
          <w:szCs w:val="32"/>
        </w:rPr>
        <w:t>按照《濮阳市华龙区财政局关于编制区级部门</w:t>
      </w:r>
      <w:r>
        <w:rPr>
          <w:rFonts w:ascii="仿宋" w:hAnsi="仿宋" w:eastAsia="仿宋"/>
          <w:szCs w:val="32"/>
        </w:rPr>
        <w:t>2020-2022</w:t>
      </w:r>
      <w:r>
        <w:rPr>
          <w:rFonts w:hint="eastAsia" w:ascii="仿宋" w:hAnsi="仿宋" w:eastAsia="仿宋"/>
          <w:szCs w:val="32"/>
        </w:rPr>
        <w:t>年收支规划和</w:t>
      </w:r>
      <w:r>
        <w:rPr>
          <w:rFonts w:ascii="仿宋" w:hAnsi="仿宋" w:eastAsia="仿宋"/>
          <w:szCs w:val="32"/>
        </w:rPr>
        <w:t>2020</w:t>
      </w:r>
      <w:r>
        <w:rPr>
          <w:rFonts w:hint="eastAsia" w:ascii="仿宋" w:hAnsi="仿宋" w:eastAsia="仿宋"/>
          <w:szCs w:val="32"/>
        </w:rPr>
        <w:t>年部门预算的通知》（华龙财〔</w:t>
      </w:r>
      <w:r>
        <w:rPr>
          <w:rFonts w:ascii="仿宋" w:hAnsi="仿宋" w:eastAsia="仿宋"/>
          <w:szCs w:val="32"/>
        </w:rPr>
        <w:t>2019</w:t>
      </w:r>
      <w:r>
        <w:rPr>
          <w:rFonts w:hint="eastAsia" w:ascii="仿宋" w:hAnsi="仿宋" w:eastAsia="仿宋"/>
          <w:szCs w:val="32"/>
        </w:rPr>
        <w:t>〕</w:t>
      </w:r>
      <w:r>
        <w:rPr>
          <w:rFonts w:ascii="仿宋" w:hAnsi="仿宋" w:eastAsia="仿宋"/>
          <w:szCs w:val="32"/>
        </w:rPr>
        <w:t>108</w:t>
      </w:r>
      <w:r>
        <w:rPr>
          <w:rFonts w:hint="eastAsia" w:ascii="仿宋" w:hAnsi="仿宋" w:eastAsia="仿宋"/>
          <w:szCs w:val="32"/>
        </w:rPr>
        <w:t>号）有关全面推进预算绩效管理方面的要求，本部门牢固树立“讲绩效、重绩效、用绩效”的绩效管理理念，年度预算申报时，针对政策及重点项目逐项设立并报送了预算绩效目标。绩效目标设定涉及</w:t>
      </w:r>
      <w:r>
        <w:rPr>
          <w:rFonts w:hint="eastAsia" w:ascii="仿宋" w:hAnsi="仿宋" w:eastAsia="仿宋"/>
          <w:szCs w:val="32"/>
          <w:lang w:val="en-US" w:eastAsia="zh-CN"/>
        </w:rPr>
        <w:t>1</w:t>
      </w:r>
      <w:r>
        <w:rPr>
          <w:rFonts w:hint="eastAsia" w:ascii="仿宋" w:hAnsi="仿宋" w:eastAsia="仿宋"/>
          <w:szCs w:val="32"/>
        </w:rPr>
        <w:t>个项目，</w:t>
      </w:r>
      <w:r>
        <w:rPr>
          <w:rFonts w:hint="eastAsia" w:ascii="仿宋" w:hAnsi="仿宋" w:eastAsia="仿宋"/>
          <w:szCs w:val="32"/>
          <w:lang w:val="en-US" w:eastAsia="zh-CN"/>
        </w:rPr>
        <w:t>58</w:t>
      </w:r>
      <w:r>
        <w:rPr>
          <w:rFonts w:hint="eastAsia" w:ascii="仿宋" w:hAnsi="仿宋" w:eastAsia="仿宋"/>
          <w:szCs w:val="32"/>
        </w:rPr>
        <w:t>万元，并将以此为基础开展后续预算绩效管理工作，努力建立健全以结果为导向的预算绩效管理工作机制。</w:t>
      </w:r>
    </w:p>
    <w:p>
      <w:pPr>
        <w:ind w:firstLine="640" w:firstLineChars="200"/>
        <w:rPr>
          <w:rFonts w:ascii="黑体" w:hAnsi="黑体" w:eastAsia="黑体"/>
          <w:szCs w:val="32"/>
        </w:rPr>
      </w:pPr>
    </w:p>
    <w:p>
      <w:pPr>
        <w:ind w:firstLine="640" w:firstLineChars="200"/>
        <w:rPr>
          <w:rFonts w:ascii="黑体" w:hAnsi="黑体" w:eastAsia="黑体"/>
          <w:szCs w:val="32"/>
        </w:rPr>
      </w:pPr>
    </w:p>
    <w:p>
      <w:pPr>
        <w:ind w:firstLine="640" w:firstLineChars="200"/>
        <w:rPr>
          <w:rFonts w:ascii="黑体" w:hAnsi="黑体" w:eastAsia="黑体"/>
          <w:szCs w:val="32"/>
        </w:rPr>
      </w:pPr>
    </w:p>
    <w:p>
      <w:pPr>
        <w:ind w:firstLine="640" w:firstLineChars="200"/>
        <w:rPr>
          <w:rFonts w:ascii="黑体" w:hAnsi="黑体" w:eastAsia="黑体"/>
          <w:szCs w:val="32"/>
        </w:rPr>
      </w:pPr>
    </w:p>
    <w:p>
      <w:pPr>
        <w:ind w:firstLine="640" w:firstLineChars="200"/>
        <w:rPr>
          <w:rFonts w:ascii="黑体" w:hAnsi="黑体" w:eastAsia="黑体"/>
          <w:szCs w:val="32"/>
        </w:rPr>
      </w:pPr>
    </w:p>
    <w:p>
      <w:pPr>
        <w:ind w:firstLine="640" w:firstLineChars="200"/>
        <w:rPr>
          <w:rFonts w:ascii="黑体" w:hAnsi="黑体" w:eastAsia="黑体"/>
          <w:szCs w:val="32"/>
        </w:rPr>
      </w:pPr>
    </w:p>
    <w:p>
      <w:pPr>
        <w:ind w:firstLine="640" w:firstLineChars="200"/>
        <w:rPr>
          <w:rFonts w:ascii="黑体" w:hAnsi="黑体" w:eastAsia="黑体"/>
          <w:szCs w:val="32"/>
        </w:rPr>
      </w:pPr>
    </w:p>
    <w:p>
      <w:pPr>
        <w:ind w:firstLine="640" w:firstLineChars="200"/>
        <w:rPr>
          <w:rFonts w:ascii="黑体" w:hAnsi="黑体" w:eastAsia="黑体"/>
          <w:szCs w:val="32"/>
        </w:rPr>
      </w:pPr>
    </w:p>
    <w:p>
      <w:pPr>
        <w:ind w:firstLine="640" w:firstLineChars="200"/>
        <w:rPr>
          <w:rFonts w:ascii="黑体" w:hAnsi="黑体" w:eastAsia="黑体"/>
          <w:szCs w:val="32"/>
        </w:rPr>
      </w:pPr>
    </w:p>
    <w:p>
      <w:pPr>
        <w:ind w:firstLine="640" w:firstLineChars="200"/>
        <w:rPr>
          <w:rFonts w:ascii="黑体" w:hAnsi="黑体" w:eastAsia="黑体"/>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第三部分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名词解释</w:t>
      </w:r>
    </w:p>
    <w:p>
      <w:pPr>
        <w:ind w:firstLine="640" w:firstLineChars="200"/>
        <w:rPr>
          <w:rFonts w:ascii="仿宋" w:hAnsi="仿宋" w:eastAsia="仿宋"/>
          <w:szCs w:val="32"/>
        </w:rPr>
      </w:pPr>
    </w:p>
    <w:p>
      <w:pPr>
        <w:ind w:firstLine="640"/>
        <w:rPr>
          <w:rFonts w:ascii="黑体" w:hAnsi="黑体" w:eastAsia="黑体"/>
          <w:szCs w:val="32"/>
        </w:rPr>
      </w:pPr>
      <w:r>
        <w:rPr>
          <w:rFonts w:hint="eastAsia" w:ascii="黑体" w:hAnsi="黑体" w:eastAsia="黑体"/>
          <w:szCs w:val="32"/>
        </w:rPr>
        <w:t>一、财政拨款收入</w:t>
      </w:r>
    </w:p>
    <w:p>
      <w:pPr>
        <w:ind w:firstLine="640"/>
        <w:rPr>
          <w:rFonts w:ascii="仿宋" w:hAnsi="仿宋" w:eastAsia="仿宋"/>
          <w:szCs w:val="32"/>
        </w:rPr>
      </w:pPr>
      <w:r>
        <w:rPr>
          <w:rFonts w:hint="eastAsia" w:ascii="仿宋" w:hAnsi="仿宋" w:eastAsia="仿宋"/>
          <w:szCs w:val="32"/>
        </w:rPr>
        <w:t>指本级财政当年拨付的资金。</w:t>
      </w:r>
    </w:p>
    <w:p>
      <w:pPr>
        <w:ind w:firstLine="640"/>
        <w:rPr>
          <w:rFonts w:ascii="黑体" w:hAnsi="黑体" w:eastAsia="黑体"/>
          <w:szCs w:val="32"/>
        </w:rPr>
      </w:pPr>
      <w:r>
        <w:rPr>
          <w:rFonts w:hint="eastAsia" w:ascii="黑体" w:hAnsi="黑体" w:eastAsia="黑体"/>
          <w:szCs w:val="32"/>
        </w:rPr>
        <w:t>二、事业收入</w:t>
      </w:r>
    </w:p>
    <w:p>
      <w:pPr>
        <w:ind w:firstLine="640" w:firstLineChars="200"/>
        <w:rPr>
          <w:rFonts w:ascii="仿宋" w:hAnsi="仿宋" w:eastAsia="仿宋"/>
          <w:szCs w:val="32"/>
        </w:rPr>
      </w:pPr>
      <w:r>
        <w:rPr>
          <w:rFonts w:hint="eastAsia" w:ascii="仿宋" w:hAnsi="仿宋" w:eastAsia="仿宋"/>
          <w:szCs w:val="32"/>
        </w:rPr>
        <w:t>指事业单位开展专务活动及辅助所取得的收入。</w:t>
      </w:r>
    </w:p>
    <w:p>
      <w:pPr>
        <w:ind w:firstLine="640"/>
        <w:rPr>
          <w:rFonts w:ascii="黑体" w:hAnsi="黑体" w:eastAsia="黑体"/>
          <w:szCs w:val="32"/>
        </w:rPr>
      </w:pPr>
      <w:r>
        <w:rPr>
          <w:rFonts w:hint="eastAsia" w:ascii="黑体" w:hAnsi="黑体" w:eastAsia="黑体"/>
          <w:szCs w:val="32"/>
        </w:rPr>
        <w:t>三、其他收入</w:t>
      </w:r>
    </w:p>
    <w:p>
      <w:pPr>
        <w:ind w:firstLine="640" w:firstLineChars="200"/>
        <w:rPr>
          <w:rFonts w:ascii="仿宋" w:hAnsi="仿宋" w:eastAsia="仿宋"/>
          <w:szCs w:val="32"/>
        </w:rPr>
      </w:pPr>
      <w:r>
        <w:rPr>
          <w:rFonts w:hint="eastAsia" w:ascii="仿宋" w:hAnsi="仿宋" w:eastAsia="仿宋"/>
          <w:szCs w:val="32"/>
        </w:rPr>
        <w:t>指除“财政拨款”、“事业收入”、“事业单位经营收入”、“附属单位上缴收入”等以外的收入。</w:t>
      </w:r>
    </w:p>
    <w:p>
      <w:pPr>
        <w:ind w:firstLine="640"/>
        <w:rPr>
          <w:rFonts w:ascii="黑体" w:hAnsi="黑体" w:eastAsia="黑体"/>
          <w:szCs w:val="32"/>
        </w:rPr>
      </w:pPr>
      <w:r>
        <w:rPr>
          <w:rFonts w:hint="eastAsia" w:ascii="黑体" w:hAnsi="黑体" w:eastAsia="黑体"/>
          <w:szCs w:val="32"/>
        </w:rPr>
        <w:t>四、基本支出</w:t>
      </w:r>
    </w:p>
    <w:p>
      <w:pPr>
        <w:ind w:firstLine="640" w:firstLineChars="200"/>
        <w:rPr>
          <w:rFonts w:ascii="仿宋" w:hAnsi="仿宋" w:eastAsia="仿宋"/>
          <w:szCs w:val="32"/>
        </w:rPr>
      </w:pPr>
      <w:r>
        <w:rPr>
          <w:rFonts w:hint="eastAsia" w:ascii="仿宋" w:hAnsi="仿宋" w:eastAsia="仿宋"/>
          <w:szCs w:val="32"/>
        </w:rPr>
        <w:t>指为保障机构正常运转、完成日常工作任务所必需的开支，其内容包括人员经费和日常公用经费两部分。</w:t>
      </w:r>
    </w:p>
    <w:p>
      <w:pPr>
        <w:ind w:firstLine="640"/>
        <w:rPr>
          <w:rFonts w:ascii="黑体" w:hAnsi="黑体" w:eastAsia="黑体"/>
          <w:szCs w:val="32"/>
        </w:rPr>
      </w:pPr>
      <w:r>
        <w:rPr>
          <w:rFonts w:hint="eastAsia" w:ascii="黑体" w:hAnsi="黑体" w:eastAsia="黑体"/>
          <w:szCs w:val="32"/>
        </w:rPr>
        <w:t>五、项目支出</w:t>
      </w:r>
    </w:p>
    <w:p>
      <w:pPr>
        <w:ind w:firstLine="640" w:firstLineChars="200"/>
        <w:rPr>
          <w:rFonts w:ascii="仿宋" w:hAnsi="仿宋" w:eastAsia="仿宋"/>
          <w:szCs w:val="32"/>
        </w:rPr>
      </w:pPr>
      <w:r>
        <w:rPr>
          <w:rFonts w:hint="eastAsia" w:ascii="仿宋" w:hAnsi="仿宋" w:eastAsia="仿宋"/>
          <w:szCs w:val="32"/>
        </w:rPr>
        <w:t>指在基本支出之外，为完成特定的行政工作任务或事业发展目标所发生的支出。</w:t>
      </w:r>
    </w:p>
    <w:p>
      <w:pPr>
        <w:ind w:firstLine="640"/>
        <w:rPr>
          <w:rFonts w:ascii="黑体" w:hAnsi="黑体" w:eastAsia="黑体"/>
          <w:szCs w:val="32"/>
        </w:rPr>
      </w:pPr>
      <w:r>
        <w:rPr>
          <w:rFonts w:hint="eastAsia" w:ascii="黑体" w:hAnsi="黑体" w:eastAsia="黑体"/>
          <w:szCs w:val="32"/>
        </w:rPr>
        <w:t>六、机关运行经费</w:t>
      </w:r>
    </w:p>
    <w:p>
      <w:pPr>
        <w:ind w:firstLine="640" w:firstLineChars="200"/>
        <w:rPr>
          <w:rFonts w:ascii="仿宋" w:hAnsi="仿宋" w:eastAsia="仿宋"/>
          <w:szCs w:val="32"/>
        </w:rPr>
      </w:pPr>
      <w:r>
        <w:rPr>
          <w:rFonts w:hint="eastAsia" w:ascii="仿宋" w:hAnsi="仿宋" w:eastAsia="仿宋"/>
          <w:szCs w:val="32"/>
        </w:rPr>
        <w:t>指为保障行政单位（含参照公务员法管理的事业单位）正常运转及正常履职需要的支出，包括办公费、印刷费、“三公”经费、差旅费、会议费、日常维修费、办公用房水电费、办公用房取暖费、办公用房物业管理费、公务用车运行维护费以及其他费用。</w:t>
      </w:r>
    </w:p>
    <w:p>
      <w:pPr>
        <w:ind w:firstLine="640"/>
        <w:rPr>
          <w:rFonts w:ascii="黑体" w:hAnsi="黑体" w:eastAsia="黑体"/>
          <w:szCs w:val="32"/>
        </w:rPr>
      </w:pPr>
      <w:r>
        <w:rPr>
          <w:rFonts w:hint="eastAsia" w:ascii="黑体" w:hAnsi="黑体" w:eastAsia="黑体"/>
          <w:szCs w:val="32"/>
        </w:rPr>
        <w:t>七、“三公”经费</w:t>
      </w:r>
    </w:p>
    <w:p>
      <w:pPr>
        <w:ind w:firstLine="640" w:firstLineChars="200"/>
        <w:rPr>
          <w:rFonts w:ascii="仿宋" w:hAnsi="仿宋" w:eastAsia="仿宋"/>
          <w:szCs w:val="32"/>
        </w:rPr>
      </w:pPr>
      <w:r>
        <w:rPr>
          <w:rFonts w:hint="eastAsia" w:ascii="仿宋" w:hAnsi="仿宋" w:eastAsia="仿宋"/>
          <w:szCs w:val="32"/>
        </w:rPr>
        <w:t>指纳入本级财政预决算管理，本级部门使用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接待支出。</w:t>
      </w:r>
    </w:p>
    <w:p>
      <w:pPr>
        <w:widowControl/>
        <w:jc w:val="left"/>
        <w:rPr>
          <w:rFonts w:ascii="仿宋" w:hAnsi="仿宋" w:eastAsia="仿宋"/>
          <w:szCs w:val="32"/>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roman"/>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roman"/>
    <w:pitch w:val="default"/>
    <w:sig w:usb0="00000001" w:usb1="080E0000" w:usb2="00000000" w:usb3="00000000" w:csb0="00040000" w:csb1="00000000"/>
  </w:font>
  <w:font w:name="仿宋">
    <w:panose1 w:val="02010609060101010101"/>
    <w:charset w:val="86"/>
    <w:family w:val="roma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0.5pt" joinstyle="miter"/>
          <v:imagedata o:title=""/>
          <o:lock v:ext="edit"/>
          <v:textbox inset="0mm,0mm,0mm,0mm" style="mso-fit-shape-to-text:t;">
            <w:txbxContent>
              <w:p>
                <w:pPr>
                  <w:pStyle w:val="4"/>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- 1 -</w:t>
                </w:r>
                <w:r>
                  <w:rPr>
                    <w:sz w:val="21"/>
                    <w:szCs w:val="21"/>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25FAC"/>
    <w:rsid w:val="0004060A"/>
    <w:rsid w:val="000649C5"/>
    <w:rsid w:val="000B392C"/>
    <w:rsid w:val="000F1EFE"/>
    <w:rsid w:val="00125FAC"/>
    <w:rsid w:val="00127F6F"/>
    <w:rsid w:val="00162A29"/>
    <w:rsid w:val="001852DE"/>
    <w:rsid w:val="001965F5"/>
    <w:rsid w:val="00196E05"/>
    <w:rsid w:val="001B31A3"/>
    <w:rsid w:val="00207623"/>
    <w:rsid w:val="0024750C"/>
    <w:rsid w:val="002A397A"/>
    <w:rsid w:val="002D12B0"/>
    <w:rsid w:val="003222ED"/>
    <w:rsid w:val="00334DFB"/>
    <w:rsid w:val="00374952"/>
    <w:rsid w:val="00377211"/>
    <w:rsid w:val="003838FD"/>
    <w:rsid w:val="003C0C15"/>
    <w:rsid w:val="003D7D9A"/>
    <w:rsid w:val="0046174D"/>
    <w:rsid w:val="004A3479"/>
    <w:rsid w:val="004D22AA"/>
    <w:rsid w:val="004E79D5"/>
    <w:rsid w:val="0051511D"/>
    <w:rsid w:val="00583109"/>
    <w:rsid w:val="005C4BFD"/>
    <w:rsid w:val="005E427E"/>
    <w:rsid w:val="0060448E"/>
    <w:rsid w:val="00612ECF"/>
    <w:rsid w:val="006A3ED3"/>
    <w:rsid w:val="007C5FD2"/>
    <w:rsid w:val="00845860"/>
    <w:rsid w:val="0087086B"/>
    <w:rsid w:val="008A08E8"/>
    <w:rsid w:val="008A2F34"/>
    <w:rsid w:val="008D7DD2"/>
    <w:rsid w:val="008E57A8"/>
    <w:rsid w:val="00925F66"/>
    <w:rsid w:val="00975602"/>
    <w:rsid w:val="00976444"/>
    <w:rsid w:val="009A1FE2"/>
    <w:rsid w:val="00A02B5D"/>
    <w:rsid w:val="00B62460"/>
    <w:rsid w:val="00BC0D2F"/>
    <w:rsid w:val="00BF3D3B"/>
    <w:rsid w:val="00C15DCD"/>
    <w:rsid w:val="00C56A03"/>
    <w:rsid w:val="00D17C88"/>
    <w:rsid w:val="00D56ECE"/>
    <w:rsid w:val="00DA4FD4"/>
    <w:rsid w:val="00DF06AF"/>
    <w:rsid w:val="00E3331C"/>
    <w:rsid w:val="00E50700"/>
    <w:rsid w:val="00E56EAF"/>
    <w:rsid w:val="00E72D14"/>
    <w:rsid w:val="00F15F3A"/>
    <w:rsid w:val="00F34146"/>
    <w:rsid w:val="00F97444"/>
    <w:rsid w:val="00FC2311"/>
    <w:rsid w:val="00FD4637"/>
    <w:rsid w:val="00FE26A6"/>
    <w:rsid w:val="186B477D"/>
    <w:rsid w:val="2ED95A2A"/>
    <w:rsid w:val="4844057D"/>
    <w:rsid w:val="537D4091"/>
    <w:rsid w:val="77F54C48"/>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Calibri" w:eastAsia="仿宋_GB2312" w:cs="Times New Roman"/>
      <w:kern w:val="2"/>
      <w:sz w:val="32"/>
      <w:szCs w:val="22"/>
      <w:lang w:val="en-US" w:eastAsia="zh-CN" w:bidi="ar-SA"/>
    </w:rPr>
  </w:style>
  <w:style w:type="paragraph" w:styleId="2">
    <w:name w:val="heading 1"/>
    <w:basedOn w:val="1"/>
    <w:next w:val="1"/>
    <w:link w:val="9"/>
    <w:qFormat/>
    <w:uiPriority w:val="99"/>
    <w:pPr>
      <w:jc w:val="center"/>
      <w:outlineLvl w:val="0"/>
    </w:pPr>
    <w:rPr>
      <w:rFonts w:ascii="方正小标宋_GBK" w:eastAsia="方正小标宋_GBK"/>
      <w:sz w:val="44"/>
    </w:rPr>
  </w:style>
  <w:style w:type="character" w:default="1" w:styleId="8">
    <w:name w:val="Default Paragraph Font"/>
    <w:semiHidden/>
    <w:uiPriority w:val="99"/>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Balloon Text"/>
    <w:basedOn w:val="1"/>
    <w:link w:val="10"/>
    <w:semiHidden/>
    <w:qFormat/>
    <w:uiPriority w:val="99"/>
    <w:rPr>
      <w:sz w:val="18"/>
      <w:szCs w:val="18"/>
    </w:r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Heading 1 Char"/>
    <w:basedOn w:val="8"/>
    <w:link w:val="2"/>
    <w:qFormat/>
    <w:locked/>
    <w:uiPriority w:val="99"/>
    <w:rPr>
      <w:rFonts w:ascii="方正小标宋_GBK" w:eastAsia="方正小标宋_GBK" w:cs="Times New Roman"/>
      <w:sz w:val="44"/>
    </w:rPr>
  </w:style>
  <w:style w:type="character" w:customStyle="1" w:styleId="10">
    <w:name w:val="Balloon Text Char"/>
    <w:basedOn w:val="8"/>
    <w:link w:val="3"/>
    <w:semiHidden/>
    <w:qFormat/>
    <w:locked/>
    <w:uiPriority w:val="99"/>
    <w:rPr>
      <w:rFonts w:ascii="仿宋_GB2312" w:eastAsia="仿宋_GB2312" w:cs="Times New Roman"/>
      <w:sz w:val="18"/>
      <w:szCs w:val="18"/>
    </w:rPr>
  </w:style>
  <w:style w:type="character" w:customStyle="1" w:styleId="11">
    <w:name w:val="Footer Char"/>
    <w:basedOn w:val="8"/>
    <w:link w:val="4"/>
    <w:locked/>
    <w:uiPriority w:val="99"/>
    <w:rPr>
      <w:rFonts w:ascii="仿宋_GB2312" w:eastAsia="仿宋_GB2312" w:cs="Times New Roman"/>
      <w:sz w:val="18"/>
      <w:szCs w:val="18"/>
    </w:rPr>
  </w:style>
  <w:style w:type="character" w:customStyle="1" w:styleId="12">
    <w:name w:val="Header Char"/>
    <w:basedOn w:val="8"/>
    <w:link w:val="5"/>
    <w:qFormat/>
    <w:locked/>
    <w:uiPriority w:val="99"/>
    <w:rPr>
      <w:rFonts w:ascii="仿宋_GB2312" w:eastAsia="仿宋_GB2312" w:cs="Times New Roman"/>
      <w:sz w:val="18"/>
      <w:szCs w:val="18"/>
    </w:rPr>
  </w:style>
  <w:style w:type="paragraph" w:customStyle="1" w:styleId="1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12</Pages>
  <Words>525</Words>
  <Characters>2995</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2020-06-22T10:12:00Z</dcterms:created>
  <dc:creator>ys-pc</dc:creator>
  <cp:lastModifiedBy>lenovo</cp:lastModifiedBy>
  <cp:lastPrinted>2020-06-22T08:13:00Z</cp:lastPrinted>
  <dcterms:modified xsi:type="dcterms:W3CDTF">2020-12-14T08:05:40Z</dcterms:modified>
  <dc:title>濮阳市华龙区审计局</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