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方正小标宋_GBK" w:eastAsia="方正小标宋_GBK"/>
          <w:sz w:val="40"/>
        </w:rPr>
      </w:pPr>
    </w:p>
    <w:p>
      <w:pPr>
        <w:rPr>
          <w:rFonts w:ascii="方正小标宋_GBK" w:eastAsia="方正小标宋_GBK"/>
          <w:sz w:val="40"/>
        </w:rPr>
      </w:pPr>
    </w:p>
    <w:p>
      <w:pPr>
        <w:jc w:val="center"/>
        <w:rPr>
          <w:rFonts w:ascii="方正小标宋简体" w:hAnsi="方正小标宋简体" w:eastAsia="方正小标宋简体" w:cs="方正小标宋简体"/>
          <w:w w:val="85"/>
          <w:sz w:val="56"/>
        </w:rPr>
      </w:pPr>
      <w:r>
        <w:rPr>
          <w:rFonts w:hint="eastAsia" w:ascii="方正小标宋简体" w:hAnsi="方正小标宋简体" w:eastAsia="方正小标宋简体" w:cs="方正小标宋简体"/>
          <w:w w:val="85"/>
          <w:sz w:val="56"/>
        </w:rPr>
        <w:t>濮阳市华龙区环境保护局</w:t>
      </w:r>
    </w:p>
    <w:p>
      <w:pPr>
        <w:jc w:val="center"/>
        <w:rPr>
          <w:rFonts w:ascii="方正小标宋简体" w:hAnsi="方正小标宋简体" w:eastAsia="方正小标宋简体" w:cs="方正小标宋简体"/>
          <w:spacing w:val="-20"/>
          <w:sz w:val="44"/>
        </w:rPr>
      </w:pPr>
      <w:r>
        <w:rPr>
          <w:rFonts w:hint="eastAsia" w:ascii="方正小标宋简体" w:hAnsi="方正小标宋简体" w:eastAsia="方正小标宋简体" w:cs="方正小标宋简体"/>
          <w:w w:val="85"/>
          <w:sz w:val="56"/>
        </w:rPr>
        <w:t>2020年部门预算公开说明</w:t>
      </w:r>
    </w:p>
    <w:p>
      <w:pPr>
        <w:jc w:val="center"/>
        <w:rPr>
          <w:rFonts w:ascii="方正小标宋_GBK" w:eastAsia="方正小标宋_GBK"/>
          <w:sz w:val="40"/>
        </w:rPr>
      </w:pPr>
    </w:p>
    <w:p>
      <w:pPr>
        <w:jc w:val="center"/>
        <w:rPr>
          <w:rFonts w:ascii="方正小标宋_GBK" w:eastAsia="方正小标宋_GBK"/>
          <w:sz w:val="40"/>
        </w:rPr>
      </w:pPr>
    </w:p>
    <w:p>
      <w:pPr>
        <w:jc w:val="center"/>
        <w:rPr>
          <w:rFonts w:ascii="方正小标宋_GBK" w:eastAsia="方正小标宋_GBK"/>
          <w:sz w:val="40"/>
        </w:rPr>
      </w:pPr>
    </w:p>
    <w:p>
      <w:pPr>
        <w:jc w:val="center"/>
        <w:rPr>
          <w:rFonts w:ascii="方正小标宋_GBK" w:eastAsia="方正小标宋_GBK"/>
          <w:sz w:val="40"/>
        </w:rPr>
      </w:pPr>
    </w:p>
    <w:p>
      <w:pPr>
        <w:jc w:val="center"/>
        <w:rPr>
          <w:rFonts w:ascii="方正小标宋_GBK" w:eastAsia="方正小标宋_GBK"/>
          <w:sz w:val="40"/>
        </w:rPr>
      </w:pPr>
    </w:p>
    <w:p>
      <w:pPr>
        <w:jc w:val="center"/>
        <w:rPr>
          <w:rFonts w:ascii="方正小标宋_GBK" w:eastAsia="方正小标宋_GBK"/>
          <w:sz w:val="40"/>
        </w:rPr>
      </w:pPr>
    </w:p>
    <w:p>
      <w:pPr>
        <w:jc w:val="center"/>
        <w:rPr>
          <w:rFonts w:hint="eastAsia" w:ascii="方正小标宋_GBK" w:eastAsia="方正小标宋_GBK"/>
          <w:sz w:val="40"/>
        </w:rPr>
      </w:pPr>
    </w:p>
    <w:p>
      <w:pPr>
        <w:jc w:val="center"/>
        <w:rPr>
          <w:rFonts w:ascii="方正小标宋_GBK" w:eastAsia="方正小标宋_GBK"/>
          <w:sz w:val="40"/>
        </w:rPr>
      </w:pPr>
    </w:p>
    <w:p>
      <w:pPr>
        <w:rPr>
          <w:rFonts w:ascii="方正小标宋_GBK" w:eastAsia="方正小标宋_GBK"/>
          <w:sz w:val="40"/>
        </w:rPr>
      </w:pPr>
    </w:p>
    <w:p>
      <w:pPr>
        <w:jc w:val="center"/>
        <w:rPr>
          <w:rFonts w:ascii="方正小标宋_GBK" w:eastAsia="方正小标宋_GBK"/>
          <w:sz w:val="40"/>
        </w:rPr>
      </w:pPr>
    </w:p>
    <w:p>
      <w:pPr>
        <w:jc w:val="center"/>
        <w:rPr>
          <w:rFonts w:ascii="方正小标宋_GBK" w:eastAsia="方正小标宋_GBK"/>
          <w:sz w:val="40"/>
        </w:rPr>
      </w:pPr>
    </w:p>
    <w:p>
      <w:pPr>
        <w:jc w:val="center"/>
        <w:rPr>
          <w:rFonts w:ascii="方正小标宋_GBK" w:eastAsia="方正小标宋_GBK"/>
          <w:sz w:val="40"/>
        </w:rPr>
      </w:pPr>
    </w:p>
    <w:p>
      <w:pPr>
        <w:jc w:val="center"/>
        <w:rPr>
          <w:rFonts w:ascii="楷体_GB2312" w:eastAsia="楷体_GB2312"/>
          <w:b/>
          <w:w w:val="90"/>
          <w:sz w:val="40"/>
        </w:rPr>
      </w:pPr>
      <w:r>
        <w:rPr>
          <w:rFonts w:hint="eastAsia" w:ascii="楷体_GB2312" w:eastAsia="楷体_GB2312"/>
          <w:b/>
          <w:w w:val="90"/>
          <w:sz w:val="40"/>
        </w:rPr>
        <w:t>二</w:t>
      </w:r>
      <w:r>
        <w:rPr>
          <w:rFonts w:hint="eastAsia" w:ascii="宋体" w:hAnsi="宋体" w:cs="宋体"/>
          <w:b/>
          <w:w w:val="90"/>
          <w:sz w:val="40"/>
        </w:rPr>
        <w:t>〇</w:t>
      </w:r>
      <w:r>
        <w:rPr>
          <w:rFonts w:hint="eastAsia" w:ascii="楷体_GB2312" w:eastAsia="楷体_GB2312"/>
          <w:b/>
          <w:w w:val="90"/>
          <w:sz w:val="40"/>
        </w:rPr>
        <w:t>二</w:t>
      </w:r>
      <w:r>
        <w:rPr>
          <w:rFonts w:hint="eastAsia" w:ascii="宋体" w:hAnsi="宋体" w:cs="宋体"/>
          <w:b/>
          <w:w w:val="90"/>
          <w:sz w:val="40"/>
        </w:rPr>
        <w:t>〇</w:t>
      </w:r>
      <w:r>
        <w:rPr>
          <w:rFonts w:hint="eastAsia" w:ascii="楷体_GB2312" w:hAnsi="楷体_GB2312" w:eastAsia="楷体_GB2312" w:cs="楷体_GB2312"/>
          <w:b/>
          <w:w w:val="90"/>
          <w:sz w:val="40"/>
        </w:rPr>
        <w:t>年六月</w:t>
      </w:r>
    </w:p>
    <w:p>
      <w:pPr>
        <w:widowControl/>
        <w:jc w:val="left"/>
        <w:rPr>
          <w:rFonts w:ascii="黑体" w:hAnsi="黑体" w:eastAsia="黑体" w:cs="宋体"/>
          <w:kern w:val="0"/>
          <w:sz w:val="44"/>
          <w:szCs w:val="32"/>
        </w:rPr>
      </w:pPr>
      <w:r>
        <w:rPr>
          <w:rFonts w:ascii="黑体" w:hAnsi="黑体" w:eastAsia="黑体"/>
          <w:sz w:val="44"/>
          <w:szCs w:val="32"/>
        </w:rPr>
        <w:br w:type="page"/>
      </w:r>
    </w:p>
    <w:p>
      <w:pPr>
        <w:pStyle w:val="6"/>
        <w:topLinePunct/>
        <w:spacing w:before="0" w:beforeAutospacing="0" w:after="0" w:afterAutospacing="0" w:line="360" w:lineRule="auto"/>
        <w:ind w:firstLine="880"/>
        <w:jc w:val="center"/>
        <w:rPr>
          <w:rFonts w:ascii="黑体" w:hAnsi="黑体" w:eastAsia="黑体"/>
          <w:sz w:val="44"/>
          <w:szCs w:val="32"/>
        </w:rPr>
      </w:pPr>
    </w:p>
    <w:p>
      <w:pPr>
        <w:pStyle w:val="6"/>
        <w:topLinePunct/>
        <w:spacing w:before="0" w:beforeAutospacing="0" w:after="0" w:afterAutospacing="0" w:line="360" w:lineRule="auto"/>
        <w:jc w:val="center"/>
        <w:rPr>
          <w:rFonts w:ascii="黑体" w:hAnsi="黑体" w:eastAsia="黑体"/>
          <w:sz w:val="44"/>
          <w:szCs w:val="32"/>
        </w:rPr>
      </w:pPr>
      <w:r>
        <w:rPr>
          <w:rFonts w:hint="eastAsia" w:ascii="黑体" w:hAnsi="黑体" w:eastAsia="黑体"/>
          <w:sz w:val="44"/>
          <w:szCs w:val="32"/>
        </w:rPr>
        <w:t>目 录</w:t>
      </w:r>
    </w:p>
    <w:p>
      <w:pPr>
        <w:pStyle w:val="6"/>
        <w:topLinePunct/>
        <w:spacing w:before="0" w:beforeAutospacing="0" w:after="0" w:afterAutospacing="0" w:line="360" w:lineRule="auto"/>
        <w:ind w:firstLine="720"/>
        <w:jc w:val="center"/>
        <w:rPr>
          <w:rFonts w:ascii="黑体" w:hAnsi="黑体" w:eastAsia="黑体"/>
          <w:sz w:val="36"/>
          <w:szCs w:val="32"/>
        </w:rPr>
      </w:pP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  <w:jc w:val="both"/>
      </w:pPr>
      <w:r>
        <w:rPr>
          <w:rFonts w:hint="eastAsia" w:ascii="黑体" w:hAnsi="黑体" w:eastAsia="黑体"/>
          <w:sz w:val="32"/>
          <w:szCs w:val="32"/>
        </w:rPr>
        <w:t>第一部分</w:t>
      </w:r>
      <w:r>
        <w:rPr>
          <w:rFonts w:hint="eastAsia"/>
          <w:sz w:val="32"/>
          <w:szCs w:val="32"/>
        </w:rPr>
        <w:t xml:space="preserve"> </w:t>
      </w:r>
      <w:r>
        <w:rPr>
          <w:rFonts w:hint="eastAsia" w:ascii="黑体" w:hAnsi="黑体" w:eastAsia="黑体"/>
          <w:sz w:val="32"/>
          <w:szCs w:val="32"/>
        </w:rPr>
        <w:t>部门概况</w:t>
      </w:r>
      <w:r>
        <w:rPr>
          <w:rFonts w:hint="eastAsia"/>
          <w:sz w:val="32"/>
          <w:szCs w:val="32"/>
        </w:rPr>
        <w:t> </w:t>
      </w: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</w:pPr>
      <w:r>
        <w:rPr>
          <w:rFonts w:hint="eastAsia" w:ascii="仿宋_GB2312" w:eastAsia="仿宋_GB2312"/>
          <w:sz w:val="32"/>
          <w:szCs w:val="32"/>
        </w:rPr>
        <w:t>一、部门主要职责</w:t>
      </w: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</w:pPr>
      <w:r>
        <w:rPr>
          <w:rFonts w:hint="eastAsia" w:ascii="仿宋_GB2312" w:eastAsia="仿宋_GB2312"/>
          <w:sz w:val="32"/>
          <w:szCs w:val="32"/>
        </w:rPr>
        <w:t>二、机构设置情况</w:t>
      </w: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  <w:jc w:val="both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第二部分 2020年部门预算情况说明</w:t>
      </w: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  <w:jc w:val="both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第三部分 名词解释</w:t>
      </w: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  <w:jc w:val="both"/>
      </w:pPr>
      <w:r>
        <w:rPr>
          <w:rFonts w:hint="eastAsia" w:ascii="黑体" w:hAnsi="黑体" w:eastAsia="黑体"/>
          <w:sz w:val="32"/>
          <w:szCs w:val="32"/>
        </w:rPr>
        <w:t>附件：濮阳市华龙区环境保护局2020年部门预算表</w:t>
      </w: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</w:pPr>
      <w:r>
        <w:rPr>
          <w:rFonts w:hint="eastAsia" w:ascii="仿宋_GB2312" w:eastAsia="仿宋_GB2312"/>
          <w:sz w:val="32"/>
          <w:szCs w:val="32"/>
        </w:rPr>
        <w:t>一、部门收支总表</w:t>
      </w: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</w:pPr>
      <w:r>
        <w:rPr>
          <w:rFonts w:hint="eastAsia" w:ascii="仿宋_GB2312" w:eastAsia="仿宋_GB2312"/>
          <w:sz w:val="32"/>
          <w:szCs w:val="32"/>
        </w:rPr>
        <w:t>二、部门收入总表</w:t>
      </w: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</w:pPr>
      <w:r>
        <w:rPr>
          <w:rFonts w:hint="eastAsia" w:ascii="仿宋_GB2312" w:eastAsia="仿宋_GB2312"/>
          <w:sz w:val="32"/>
          <w:szCs w:val="32"/>
        </w:rPr>
        <w:t>三、部门支出总表</w:t>
      </w: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</w:pPr>
      <w:r>
        <w:rPr>
          <w:rFonts w:hint="eastAsia" w:ascii="仿宋_GB2312" w:eastAsia="仿宋_GB2312"/>
          <w:sz w:val="32"/>
          <w:szCs w:val="32"/>
        </w:rPr>
        <w:t>四、财政拨款收支总表</w:t>
      </w: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</w:pPr>
      <w:r>
        <w:rPr>
          <w:rFonts w:hint="eastAsia" w:ascii="仿宋_GB2312" w:eastAsia="仿宋_GB2312"/>
          <w:sz w:val="32"/>
          <w:szCs w:val="32"/>
        </w:rPr>
        <w:t>五、一般公共预算支出表</w:t>
      </w: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</w:pPr>
      <w:r>
        <w:rPr>
          <w:rFonts w:hint="eastAsia" w:ascii="仿宋_GB2312" w:eastAsia="仿宋_GB2312"/>
          <w:sz w:val="32"/>
          <w:szCs w:val="32"/>
        </w:rPr>
        <w:t>六、一般公共预算基本支出表</w:t>
      </w: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</w:pPr>
      <w:r>
        <w:rPr>
          <w:rFonts w:hint="eastAsia" w:ascii="仿宋_GB2312" w:eastAsia="仿宋_GB2312"/>
          <w:sz w:val="32"/>
          <w:szCs w:val="32"/>
        </w:rPr>
        <w:t>七、一般公共预算“三公”经费支出表</w:t>
      </w: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</w:pPr>
      <w:r>
        <w:rPr>
          <w:rFonts w:hint="eastAsia" w:ascii="仿宋_GB2312" w:eastAsia="仿宋_GB2312"/>
          <w:sz w:val="32"/>
          <w:szCs w:val="32"/>
        </w:rPr>
        <w:t>八、政府性基金预算支出表</w:t>
      </w:r>
    </w:p>
    <w:p>
      <w:pPr>
        <w:ind w:firstLine="640" w:firstLineChars="200"/>
        <w:rPr>
          <w:rFonts w:ascii="黑体" w:hAnsi="黑体" w:eastAsia="黑体"/>
          <w:szCs w:val="32"/>
        </w:rPr>
      </w:pPr>
    </w:p>
    <w:p>
      <w:pPr>
        <w:rPr>
          <w:rFonts w:ascii="黑体" w:hAnsi="黑体" w:eastAsia="黑体"/>
          <w:szCs w:val="32"/>
        </w:rPr>
      </w:pPr>
      <w:r>
        <w:rPr>
          <w:rFonts w:ascii="黑体" w:hAnsi="黑体" w:eastAsia="黑体"/>
          <w:szCs w:val="32"/>
        </w:rPr>
        <w:br w:type="page"/>
      </w:r>
    </w:p>
    <w:p>
      <w:pPr>
        <w:ind w:firstLine="640" w:firstLineChars="200"/>
        <w:rPr>
          <w:rFonts w:ascii="黑体" w:hAnsi="黑体" w:eastAsia="黑体"/>
          <w:szCs w:val="32"/>
        </w:rPr>
      </w:pPr>
    </w:p>
    <w:p>
      <w:pPr>
        <w:pStyle w:val="6"/>
        <w:topLinePunct/>
        <w:spacing w:before="0" w:beforeAutospacing="0" w:after="0" w:afterAutospacing="0" w:line="360" w:lineRule="auto"/>
        <w:jc w:val="center"/>
        <w:rPr>
          <w:rFonts w:ascii="Calibri" w:hAnsi="Calibri"/>
          <w:sz w:val="22"/>
          <w:szCs w:val="21"/>
        </w:rPr>
      </w:pPr>
      <w:r>
        <w:rPr>
          <w:rFonts w:hint="eastAsia" w:ascii="黑体" w:hAnsi="黑体" w:eastAsia="黑体"/>
          <w:sz w:val="36"/>
          <w:szCs w:val="32"/>
        </w:rPr>
        <w:t>第一部分</w:t>
      </w:r>
    </w:p>
    <w:p>
      <w:pPr>
        <w:pStyle w:val="6"/>
        <w:topLinePunct/>
        <w:spacing w:before="0" w:beforeAutospacing="0" w:after="0" w:afterAutospacing="0" w:line="360" w:lineRule="auto"/>
        <w:jc w:val="center"/>
        <w:rPr>
          <w:rFonts w:ascii="Calibri" w:hAnsi="Calibri"/>
          <w:sz w:val="22"/>
          <w:szCs w:val="21"/>
        </w:rPr>
      </w:pPr>
      <w:r>
        <w:rPr>
          <w:rFonts w:hint="eastAsia" w:ascii="黑体" w:hAnsi="黑体" w:eastAsia="黑体"/>
          <w:sz w:val="36"/>
          <w:szCs w:val="32"/>
        </w:rPr>
        <w:t>部门概况</w:t>
      </w:r>
    </w:p>
    <w:p>
      <w:pPr>
        <w:ind w:firstLine="640" w:firstLineChars="200"/>
        <w:rPr>
          <w:rFonts w:ascii="黑体" w:hAnsi="黑体" w:eastAsia="黑体"/>
          <w:szCs w:val="32"/>
        </w:rPr>
      </w:pPr>
      <w:r>
        <w:rPr>
          <w:rFonts w:ascii="黑体" w:hAnsi="黑体" w:eastAsia="黑体"/>
          <w:szCs w:val="32"/>
        </w:rPr>
        <w:t> </w:t>
      </w:r>
    </w:p>
    <w:p>
      <w:pPr>
        <w:ind w:firstLine="640" w:firstLineChars="20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一、部门主要职责</w:t>
      </w:r>
    </w:p>
    <w:p>
      <w:pPr>
        <w:pStyle w:val="6"/>
        <w:shd w:val="clear" w:color="auto" w:fill="FFFFFF"/>
        <w:spacing w:before="0" w:beforeAutospacing="0" w:after="0" w:afterAutospacing="0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(一)贯彻执行国家、省环境保护的法律、法规和方针、政策。组织编制全区环境功能区划，组织拟订并监督实施重点区域、流域污染防治规划和饮用水水源地环境保护规划，参与制定华龙区主体功能区划。</w:t>
      </w:r>
    </w:p>
    <w:p>
      <w:pPr>
        <w:pStyle w:val="6"/>
        <w:shd w:val="clear" w:color="auto" w:fill="FFFFFF"/>
        <w:spacing w:before="0" w:beforeAutospacing="0" w:after="0" w:afterAutospacing="0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(二)负责全区重大环境问题的统筹协调和监督管理。牵头协调重特大环境污染事故和生态破坏事件的调查处理，指导协调辖区重特大突发环境事件的应急、预警工作，协调解决有关跨区域环境污染纠纷，统筹协调重点流域、区域污染防治工作。</w:t>
      </w:r>
    </w:p>
    <w:p>
      <w:pPr>
        <w:pStyle w:val="6"/>
        <w:shd w:val="clear" w:color="auto" w:fill="FFFFFF"/>
        <w:spacing w:before="0" w:beforeAutospacing="0" w:after="0" w:afterAutospacing="0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(三)承担落实市和区政府减排目标的责任。组织实施主要污染物排放总量控制和排污许可证制度，根据实施总量控制的污染物名称和控制指标，督查、督办、核查各乡（办）污染物减排任务完成情况，负责环境保护责任目标、总量减排考核并公布考核结果。</w:t>
      </w:r>
    </w:p>
    <w:p>
      <w:pPr>
        <w:pStyle w:val="6"/>
        <w:shd w:val="clear" w:color="auto" w:fill="FFFFFF"/>
        <w:spacing w:before="0" w:beforeAutospacing="0" w:after="0" w:afterAutospacing="0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(四)负责提出环境保护领域固定资产投资规模和方向、区财政性资金安排的意见，按区政府规定权限，审批、核准区规划内及年度计划规模内固定资产投资项目，并配合有关部门做好组织实施和监督工作。参与指导和推动循环经济和环保产业发展。</w:t>
      </w:r>
    </w:p>
    <w:p>
      <w:pPr>
        <w:pStyle w:val="6"/>
        <w:shd w:val="clear" w:color="auto" w:fill="FFFFFF"/>
        <w:spacing w:before="0" w:beforeAutospacing="0" w:after="0" w:afterAutospacing="0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(五)承担从源头上预防、控制环境污染和环境破坏的责任。受区政府委托对区重大经济和技术政策、发展规划以及重大经济开发计划进行环境影响评价，对涉及环境保护的地方性法规、规章草案提出有关环境影响方面的意见，按照国家和省、市规定出具建设项目环境影响评价文件意见。</w:t>
      </w:r>
    </w:p>
    <w:p>
      <w:pPr>
        <w:pStyle w:val="6"/>
        <w:shd w:val="clear" w:color="auto" w:fill="FFFFFF"/>
        <w:spacing w:before="0" w:beforeAutospacing="0" w:after="0" w:afterAutospacing="0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(六)负责全区环境污染防治的监督管理。组织实施水体、大气、土壤、噪声、恶臭、固体废物、化学品、机动车等污染防治管理制度，会同有关部门监督管理饮用水水源地环境保护工作，组织指导城镇和农村的环境综合整治工作。</w:t>
      </w:r>
    </w:p>
    <w:p>
      <w:pPr>
        <w:pStyle w:val="6"/>
        <w:shd w:val="clear" w:color="auto" w:fill="FFFFFF"/>
        <w:spacing w:before="0" w:beforeAutospacing="0" w:after="0" w:afterAutospacing="0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(七)指导、协调、监督全区生态保护工作。拟订生态保护规划，组织评估生态环境质量状况，监督对生态环境有影响的自然资源开发利用活动、重要生态环境建设和生态破坏恢复工作。协调、指导农村生态环境保护，监督生物技术环境安全，组织协调生物多样性保护。</w:t>
      </w:r>
    </w:p>
    <w:p>
      <w:pPr>
        <w:pStyle w:val="6"/>
        <w:shd w:val="clear" w:color="auto" w:fill="FFFFFF"/>
        <w:spacing w:before="0" w:beforeAutospacing="0" w:after="0" w:afterAutospacing="0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(八)负责全区核安全和辐射安全的监督管理。实施国家有关政策、规划、标准，负责辐射环境事故应急处理工作。监督管理放射源安全，监督管理核设施、电磁辐射等污染防治。对核材料的管制和民用核安全设备的设计、制造、安装和无损检验活动实施监督管理。</w:t>
      </w:r>
    </w:p>
    <w:p>
      <w:pPr>
        <w:pStyle w:val="6"/>
        <w:shd w:val="clear" w:color="auto" w:fill="FFFFFF"/>
        <w:spacing w:before="0" w:beforeAutospacing="0" w:after="0" w:afterAutospacing="0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（九)负责环境监测，执行国家环境监测制度和规范，组织实施环境质量监测和污染源监督性监测。组织对环境质量状况进行调查评估、预测预警，承担全区污染应急监测，建立和实行环境质量公告制度。</w:t>
      </w:r>
    </w:p>
    <w:p>
      <w:pPr>
        <w:pStyle w:val="6"/>
        <w:shd w:val="clear" w:color="auto" w:fill="FFFFFF"/>
        <w:spacing w:before="0" w:beforeAutospacing="0" w:after="0" w:afterAutospacing="0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(十)开展环境保护科技工作，组织环境保护重大科学研究和技术工程示范，推动环境技术管理体系建设。参与组织协调全区有关环境保护对外交流与合作事务。</w:t>
      </w:r>
    </w:p>
    <w:p>
      <w:pPr>
        <w:pStyle w:val="6"/>
        <w:shd w:val="clear" w:color="auto" w:fill="FFFFFF"/>
        <w:spacing w:before="0" w:beforeAutospacing="0" w:after="0" w:afterAutospacing="0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(十一)组织、指导和协调环境保护宣传教育工作，制定并组织实施区环境保护宣传教育纲要，开展生态文明建设和环境友好型社会建设的有关宣传教育工作，推动社会公众和社会组织参与环境保护。</w:t>
      </w:r>
    </w:p>
    <w:p>
      <w:pPr>
        <w:widowControl/>
        <w:ind w:firstLine="640" w:firstLineChars="200"/>
        <w:jc w:val="left"/>
        <w:rPr>
          <w:rFonts w:ascii="仿宋" w:hAnsi="仿宋" w:eastAsia="仿宋" w:cs="仿宋_GB2312"/>
          <w:kern w:val="0"/>
          <w:szCs w:val="32"/>
        </w:rPr>
      </w:pPr>
      <w:r>
        <w:rPr>
          <w:rFonts w:ascii="仿宋" w:hAnsi="仿宋" w:eastAsia="仿宋"/>
          <w:kern w:val="0"/>
          <w:szCs w:val="32"/>
        </w:rPr>
        <w:t>(</w:t>
      </w:r>
      <w:r>
        <w:rPr>
          <w:rFonts w:hint="eastAsia" w:ascii="仿宋" w:hAnsi="仿宋" w:eastAsia="仿宋"/>
          <w:kern w:val="0"/>
          <w:szCs w:val="32"/>
        </w:rPr>
        <w:t>十二</w:t>
      </w:r>
      <w:r>
        <w:rPr>
          <w:rFonts w:ascii="仿宋" w:hAnsi="仿宋" w:eastAsia="仿宋"/>
          <w:kern w:val="0"/>
          <w:szCs w:val="32"/>
        </w:rPr>
        <w:t>)</w:t>
      </w:r>
      <w:r>
        <w:rPr>
          <w:rFonts w:hint="eastAsia" w:ascii="仿宋" w:hAnsi="仿宋" w:eastAsia="仿宋"/>
          <w:kern w:val="0"/>
          <w:szCs w:val="32"/>
        </w:rPr>
        <w:t>承办区政府交办的其它工作。</w:t>
      </w:r>
    </w:p>
    <w:p>
      <w:pPr>
        <w:ind w:firstLine="640" w:firstLineChars="20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二、机构设置情况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根据工作职责及实际工作需要，濮阳市华龙区环境保护局内设监察大队、监测站、物控中心等3个机构，本部门无独立核算的下属预算单位，部门本级预算即汇总预算。</w:t>
      </w:r>
    </w:p>
    <w:p>
      <w:pPr>
        <w:ind w:firstLine="640" w:firstLineChars="200"/>
        <w:rPr>
          <w:rFonts w:ascii="黑体" w:hAnsi="黑体" w:eastAsia="黑体"/>
          <w:szCs w:val="32"/>
        </w:rPr>
      </w:pPr>
    </w:p>
    <w:p>
      <w:pPr>
        <w:pStyle w:val="6"/>
        <w:topLinePunct/>
        <w:spacing w:before="0" w:beforeAutospacing="0" w:after="0" w:afterAutospacing="0" w:line="360" w:lineRule="auto"/>
        <w:jc w:val="center"/>
        <w:rPr>
          <w:rFonts w:ascii="Calibri" w:hAnsi="Calibri"/>
          <w:sz w:val="22"/>
          <w:szCs w:val="21"/>
        </w:rPr>
      </w:pPr>
      <w:r>
        <w:rPr>
          <w:rFonts w:hint="eastAsia" w:ascii="黑体" w:hAnsi="黑体" w:eastAsia="黑体"/>
          <w:sz w:val="36"/>
          <w:szCs w:val="32"/>
        </w:rPr>
        <w:t>第二部分</w:t>
      </w:r>
    </w:p>
    <w:p>
      <w:pPr>
        <w:pStyle w:val="6"/>
        <w:topLinePunct/>
        <w:spacing w:before="0" w:beforeAutospacing="0" w:after="0" w:afterAutospacing="0" w:line="360" w:lineRule="auto"/>
        <w:jc w:val="center"/>
        <w:rPr>
          <w:rFonts w:ascii="Calibri" w:hAnsi="Calibri"/>
          <w:sz w:val="22"/>
          <w:szCs w:val="21"/>
        </w:rPr>
      </w:pPr>
      <w:r>
        <w:rPr>
          <w:rFonts w:hint="eastAsia" w:ascii="黑体" w:hAnsi="黑体" w:eastAsia="黑体"/>
          <w:sz w:val="36"/>
          <w:szCs w:val="32"/>
        </w:rPr>
        <w:t>2020年部门预算情况说明</w:t>
      </w:r>
    </w:p>
    <w:p>
      <w:pPr>
        <w:ind w:firstLine="640" w:firstLineChars="200"/>
        <w:rPr>
          <w:rFonts w:ascii="华文仿宋" w:hAnsi="华文仿宋" w:eastAsia="华文仿宋"/>
          <w:szCs w:val="32"/>
        </w:rPr>
      </w:pPr>
    </w:p>
    <w:p>
      <w:pPr>
        <w:ind w:firstLine="640" w:firstLineChars="20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一、本级预算和所属单位预算在内的汇总预算总体情况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本部门无独立核算的下属预算单位，部门本级预算即汇总预算。</w:t>
      </w:r>
      <w:r>
        <w:rPr>
          <w:rFonts w:ascii="仿宋" w:hAnsi="仿宋" w:eastAsia="仿宋"/>
          <w:szCs w:val="32"/>
        </w:rPr>
        <w:t>20</w:t>
      </w:r>
      <w:r>
        <w:rPr>
          <w:rFonts w:hint="eastAsia" w:ascii="仿宋" w:hAnsi="仿宋" w:eastAsia="仿宋"/>
          <w:szCs w:val="32"/>
        </w:rPr>
        <w:t>20年本部门预算收入总计942.23万元，支出总计942.23万元。</w:t>
      </w:r>
    </w:p>
    <w:p>
      <w:pPr>
        <w:ind w:firstLine="640" w:firstLineChars="20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二、部门预算收支增减变动情况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ascii="仿宋" w:hAnsi="仿宋" w:eastAsia="仿宋"/>
          <w:szCs w:val="32"/>
        </w:rPr>
        <w:t>20</w:t>
      </w:r>
      <w:r>
        <w:rPr>
          <w:rFonts w:hint="eastAsia" w:ascii="仿宋" w:hAnsi="仿宋" w:eastAsia="仿宋"/>
          <w:szCs w:val="32"/>
        </w:rPr>
        <w:t>20年本部门预算收入总计942.23万元，支出总计942.23万元。其中：基本支出724.73万元，占比76.92%，项目支出217.5万元，占比23.08%。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2020年本部门预算</w:t>
      </w:r>
      <w:r>
        <w:rPr>
          <w:rFonts w:hint="eastAsia" w:ascii="仿宋" w:hAnsi="仿宋" w:eastAsia="仿宋"/>
          <w:szCs w:val="32"/>
          <w:lang w:val="en-US" w:eastAsia="zh-CN"/>
        </w:rPr>
        <w:t>收入和支出均</w:t>
      </w:r>
      <w:r>
        <w:rPr>
          <w:rFonts w:hint="eastAsia" w:ascii="仿宋" w:hAnsi="仿宋" w:eastAsia="仿宋"/>
          <w:szCs w:val="32"/>
        </w:rPr>
        <w:t>较上年减少526.17万元，减少35.8</w:t>
      </w:r>
      <w:r>
        <w:rPr>
          <w:rFonts w:ascii="仿宋" w:hAnsi="仿宋" w:eastAsia="仿宋"/>
          <w:szCs w:val="32"/>
        </w:rPr>
        <w:t>%</w:t>
      </w:r>
      <w:r>
        <w:rPr>
          <w:rFonts w:hint="eastAsia" w:ascii="仿宋" w:hAnsi="仿宋" w:eastAsia="仿宋"/>
          <w:szCs w:val="32"/>
        </w:rPr>
        <w:t>，主要原因专项资金减少。</w:t>
      </w:r>
    </w:p>
    <w:p>
      <w:pPr>
        <w:ind w:firstLine="640" w:firstLineChars="20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三、一般公共预算基本支出情况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2020年本部门一般公共预算基本支出724.73万元，其中：人员经费706.93万元，主要包括：基本工资、津贴补贴、绩效工资、机关事业单位基本养老保险缴费、医疗保险缴费、其他社会保障缴费、住房公积金退休费；公用经费17.8万元，主要包括：办公费、维修（护）费等。</w:t>
      </w:r>
    </w:p>
    <w:p>
      <w:pPr>
        <w:ind w:firstLine="640" w:firstLineChars="20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四、机关运行经费安排情况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ascii="仿宋" w:hAnsi="仿宋" w:eastAsia="仿宋"/>
          <w:szCs w:val="32"/>
        </w:rPr>
        <w:t>20</w:t>
      </w:r>
      <w:r>
        <w:rPr>
          <w:rFonts w:hint="eastAsia" w:ascii="仿宋" w:hAnsi="仿宋" w:eastAsia="仿宋"/>
          <w:szCs w:val="32"/>
        </w:rPr>
        <w:t>20年本部门机关运行经费安排17.8万元，主要用于保障机关机构正常运转及正常履职需要的办公费、印刷费、“三公”经费、差旅费、培训费、物业费、维修（护）费、租赁费、会议费、培训费、公务接待费、劳务费、委托业务费、福利费、公务用车运行维护费、其他交通费用、其他商品和服务支出。</w:t>
      </w:r>
    </w:p>
    <w:p>
      <w:pPr>
        <w:ind w:firstLine="640" w:firstLineChars="20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五、“三公”经费安排情况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ascii="仿宋" w:hAnsi="仿宋" w:eastAsia="仿宋"/>
          <w:szCs w:val="32"/>
        </w:rPr>
        <w:t>20</w:t>
      </w:r>
      <w:r>
        <w:rPr>
          <w:rFonts w:hint="eastAsia" w:ascii="仿宋" w:hAnsi="仿宋" w:eastAsia="仿宋"/>
          <w:szCs w:val="32"/>
        </w:rPr>
        <w:t>20年本部门“三公”经费预算0万元，与上年持平，主要原因是由于公车改革后，公务用车数量减少，以及严格执行相关规定，厉行勤俭节约，压减“三公”经费。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1.因公出国（境）费0万元；</w:t>
      </w:r>
      <w:r>
        <w:rPr>
          <w:rFonts w:ascii="仿宋" w:hAnsi="仿宋" w:eastAsia="仿宋"/>
          <w:szCs w:val="32"/>
        </w:rPr>
        <w:t xml:space="preserve"> 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2.公务用车购置及运行费0万元，其中：公务用车购置0万元，公务用车运行费0万元。</w:t>
      </w:r>
    </w:p>
    <w:p>
      <w:pPr>
        <w:ind w:firstLine="640" w:firstLineChars="200"/>
        <w:rPr>
          <w:rFonts w:ascii="黑体" w:hAnsi="黑体" w:eastAsia="黑体"/>
          <w:szCs w:val="32"/>
        </w:rPr>
      </w:pPr>
      <w:r>
        <w:rPr>
          <w:rFonts w:hint="eastAsia" w:ascii="仿宋" w:hAnsi="仿宋" w:eastAsia="仿宋"/>
          <w:szCs w:val="32"/>
        </w:rPr>
        <w:t>3.公务接待费0万元。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黑体" w:hAnsi="黑体" w:eastAsia="黑体"/>
          <w:szCs w:val="32"/>
        </w:rPr>
        <w:t>六、政府采购安排情况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2020年本部门拟安排政府采购预算141.7万元，其中：政府采购货物支出0万元、政府采购服务支出141.7万元。具体采购明细如下：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1.自动站运维服务，4个项目，共计141.7万元。</w:t>
      </w:r>
    </w:p>
    <w:p>
      <w:pPr>
        <w:ind w:firstLine="640" w:firstLineChars="20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七、政府性基金预算安排情况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本部门无政府性基金预算</w:t>
      </w:r>
      <w:r>
        <w:rPr>
          <w:rFonts w:hint="eastAsia" w:ascii="仿宋" w:hAnsi="仿宋" w:eastAsia="仿宋"/>
          <w:szCs w:val="32"/>
          <w:lang w:val="en-US" w:eastAsia="zh-CN"/>
        </w:rPr>
        <w:t>收支</w:t>
      </w:r>
      <w:r>
        <w:rPr>
          <w:rFonts w:hint="eastAsia" w:ascii="仿宋" w:hAnsi="仿宋" w:eastAsia="仿宋"/>
          <w:szCs w:val="32"/>
        </w:rPr>
        <w:t>安排</w:t>
      </w:r>
      <w:r>
        <w:rPr>
          <w:rFonts w:hint="eastAsia" w:ascii="仿宋" w:hAnsi="仿宋" w:eastAsia="仿宋"/>
          <w:szCs w:val="32"/>
          <w:lang w:eastAsia="zh-CN"/>
        </w:rPr>
        <w:t>，</w:t>
      </w:r>
      <w:r>
        <w:rPr>
          <w:rFonts w:hint="eastAsia" w:ascii="仿宋" w:hAnsi="仿宋" w:eastAsia="仿宋"/>
          <w:szCs w:val="32"/>
          <w:lang w:val="en-US" w:eastAsia="zh-CN"/>
        </w:rPr>
        <w:t>较上年无变动</w:t>
      </w:r>
      <w:bookmarkStart w:id="0" w:name="_GoBack"/>
      <w:bookmarkEnd w:id="0"/>
      <w:r>
        <w:rPr>
          <w:rFonts w:hint="eastAsia" w:ascii="仿宋" w:hAnsi="仿宋" w:eastAsia="仿宋"/>
          <w:szCs w:val="32"/>
        </w:rPr>
        <w:t>。</w:t>
      </w:r>
    </w:p>
    <w:p>
      <w:pPr>
        <w:ind w:firstLine="640" w:firstLineChars="20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八、</w:t>
      </w:r>
      <w:r>
        <w:rPr>
          <w:rFonts w:ascii="黑体" w:hAnsi="黑体" w:eastAsia="黑体"/>
          <w:szCs w:val="32"/>
        </w:rPr>
        <w:t>国有资产占用情况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ascii="仿宋" w:hAnsi="仿宋" w:eastAsia="仿宋"/>
          <w:szCs w:val="32"/>
        </w:rPr>
        <w:t>截止201</w:t>
      </w:r>
      <w:r>
        <w:rPr>
          <w:rFonts w:hint="eastAsia" w:ascii="仿宋" w:hAnsi="仿宋" w:eastAsia="仿宋"/>
          <w:szCs w:val="32"/>
        </w:rPr>
        <w:t>9年末，本部门共有：房屋建筑物275.77（平方、间）；车辆13辆，其中：一般公务用车4辆、一般执法执勤用车6辆、特种专业技术用车3辆，其他用车0辆；单位价值</w:t>
      </w:r>
      <w:r>
        <w:rPr>
          <w:rFonts w:ascii="仿宋" w:hAnsi="仿宋" w:eastAsia="仿宋"/>
          <w:szCs w:val="32"/>
        </w:rPr>
        <w:t>50</w:t>
      </w:r>
      <w:r>
        <w:rPr>
          <w:rFonts w:hint="eastAsia" w:ascii="仿宋" w:hAnsi="仿宋" w:eastAsia="仿宋"/>
          <w:szCs w:val="32"/>
        </w:rPr>
        <w:t>万元以上通用设备0台（套），单位价值</w:t>
      </w:r>
      <w:r>
        <w:rPr>
          <w:rFonts w:ascii="仿宋" w:hAnsi="仿宋" w:eastAsia="仿宋"/>
          <w:szCs w:val="32"/>
        </w:rPr>
        <w:t>100</w:t>
      </w:r>
      <w:r>
        <w:rPr>
          <w:rFonts w:hint="eastAsia" w:ascii="仿宋" w:hAnsi="仿宋" w:eastAsia="仿宋"/>
          <w:szCs w:val="32"/>
        </w:rPr>
        <w:t>万元以上专用设备0台（套）。</w:t>
      </w:r>
    </w:p>
    <w:p>
      <w:pPr>
        <w:ind w:firstLine="640" w:firstLineChars="20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九、预算绩效管理工作开展情况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按照《濮阳市华龙区财政局关于编制区级部门2020-2022年收支规划和2020年部门预算的通知》（华龙财〔2019〕108号）有关全面推进预算绩效管理方面的要求，本部门牢固树立“讲绩效、重绩效、用绩效”的绩效管理理念，年度预算申报时，针对政策及重点项目逐项设立并报送了预算绩效目标。绩效目标设定涉及4个项目，141.7万元，并将以此为基础开展后续预算绩效管理工作，努力建立健全以结果为导向的预算绩效管理工作机制。</w:t>
      </w:r>
    </w:p>
    <w:p>
      <w:pPr>
        <w:ind w:firstLine="640" w:firstLineChars="200"/>
        <w:rPr>
          <w:rFonts w:ascii="黑体" w:hAnsi="黑体" w:eastAsia="黑体"/>
          <w:szCs w:val="32"/>
        </w:rPr>
      </w:pPr>
    </w:p>
    <w:p>
      <w:pPr>
        <w:ind w:firstLine="640" w:firstLineChars="200"/>
        <w:rPr>
          <w:rFonts w:ascii="黑体" w:hAnsi="黑体" w:eastAsia="黑体"/>
          <w:szCs w:val="32"/>
        </w:rPr>
      </w:pPr>
    </w:p>
    <w:p>
      <w:pPr>
        <w:pStyle w:val="6"/>
        <w:topLinePunct/>
        <w:spacing w:before="0" w:beforeAutospacing="0" w:after="0" w:afterAutospacing="0" w:line="360" w:lineRule="auto"/>
        <w:jc w:val="center"/>
        <w:rPr>
          <w:rFonts w:ascii="Calibri" w:hAnsi="Calibri"/>
          <w:sz w:val="22"/>
          <w:szCs w:val="21"/>
        </w:rPr>
      </w:pPr>
      <w:r>
        <w:rPr>
          <w:rFonts w:hint="eastAsia" w:ascii="黑体" w:hAnsi="黑体" w:eastAsia="黑体"/>
          <w:sz w:val="36"/>
          <w:szCs w:val="32"/>
        </w:rPr>
        <w:t>第三部分</w:t>
      </w:r>
    </w:p>
    <w:p>
      <w:pPr>
        <w:pStyle w:val="6"/>
        <w:topLinePunct/>
        <w:spacing w:before="0" w:beforeAutospacing="0" w:after="0" w:afterAutospacing="0" w:line="360" w:lineRule="auto"/>
        <w:jc w:val="center"/>
        <w:rPr>
          <w:rFonts w:ascii="Calibri" w:hAnsi="Calibri"/>
          <w:sz w:val="22"/>
          <w:szCs w:val="21"/>
        </w:rPr>
      </w:pPr>
      <w:r>
        <w:rPr>
          <w:rFonts w:hint="eastAsia" w:ascii="黑体" w:hAnsi="黑体" w:eastAsia="黑体"/>
          <w:sz w:val="36"/>
          <w:szCs w:val="32"/>
        </w:rPr>
        <w:t>名词解释</w:t>
      </w:r>
    </w:p>
    <w:p>
      <w:pPr>
        <w:ind w:firstLine="640" w:firstLineChars="200"/>
        <w:rPr>
          <w:rFonts w:ascii="仿宋" w:hAnsi="仿宋" w:eastAsia="仿宋"/>
          <w:szCs w:val="32"/>
        </w:rPr>
      </w:pPr>
    </w:p>
    <w:p>
      <w:pPr>
        <w:ind w:firstLine="64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一、财政拨款收入</w:t>
      </w:r>
    </w:p>
    <w:p>
      <w:pPr>
        <w:ind w:firstLine="64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指本级财政当年拨付的资金。</w:t>
      </w:r>
    </w:p>
    <w:p>
      <w:pPr>
        <w:ind w:firstLine="64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二、事业收入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指事业单位开展专务活动及辅助所取得的收入。</w:t>
      </w:r>
    </w:p>
    <w:p>
      <w:pPr>
        <w:ind w:firstLine="64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三、其他收入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指除“财政拨款”、“事业收入”、“事业单位经营收入”、“附属单位上缴收入”等以外的收入。</w:t>
      </w:r>
    </w:p>
    <w:p>
      <w:pPr>
        <w:ind w:firstLine="64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四、基本支出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指为保障机构正常运转、完成日常工作任务所必需的开支，其内容包括人员经费和日常公用经费两部分。</w:t>
      </w:r>
    </w:p>
    <w:p>
      <w:pPr>
        <w:ind w:firstLine="64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五、项目支出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指在基本支出之外，为完成特定的行政工作任务或事业发展目标所发生的支出。</w:t>
      </w:r>
    </w:p>
    <w:p>
      <w:pPr>
        <w:ind w:firstLine="64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六、机关运行经费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指为保障行政单位（含参照公务员法管理的事业单位）正常运转及正常履职需要的支出，包括办公费、印刷费、“三公”经费、差旅费、会议费、日常维修费、办公用房水电费、办公用房取暖费、办公用房物业管理费、公务用车运行维护费以及其他费用。</w:t>
      </w:r>
    </w:p>
    <w:p>
      <w:pPr>
        <w:ind w:firstLine="64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七、“三公”经费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指纳入本级财政预决算管理，本级部门使用财政拨款安排的因公出国（境）费、公务用车购置及运行费和公务接待费。其中，因公出国（境）费指单位公务出国（境）的住宿费、旅费、伙食补助费、杂费、培训费等支出；公务用车购置及运行费指单位公务用车购置费及租用费、燃料费、维修费、过路过桥费、保险费、安全奖励费用等支出；公务接待费指单位按规定开支的各类接待支出。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小标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  <w:rPr>
                              <w:sz w:val="21"/>
                              <w:szCs w:val="21"/>
                            </w:rPr>
                          </w:pPr>
                          <w:r>
                            <w:rPr>
                              <w:rFonts w:hint="eastAsia"/>
                              <w:sz w:val="21"/>
                              <w:szCs w:val="21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21"/>
                              <w:szCs w:val="21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21"/>
                              <w:szCs w:val="21"/>
                            </w:rPr>
                            <w:fldChar w:fldCharType="separate"/>
                          </w:r>
                          <w:r>
                            <w:rPr>
                              <w:sz w:val="21"/>
                              <w:szCs w:val="21"/>
                            </w:rPr>
                            <w:t>- 10 -</w:t>
                          </w:r>
                          <w:r>
                            <w:rPr>
                              <w:rFonts w:hint="eastAsia"/>
                              <w:sz w:val="21"/>
                              <w:szCs w:val="21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sz w:val="21"/>
                        <w:szCs w:val="21"/>
                      </w:rPr>
                    </w:pPr>
                    <w:r>
                      <w:rPr>
                        <w:rFonts w:hint="eastAsia"/>
                        <w:sz w:val="21"/>
                        <w:szCs w:val="21"/>
                      </w:rPr>
                      <w:fldChar w:fldCharType="begin"/>
                    </w:r>
                    <w:r>
                      <w:rPr>
                        <w:rFonts w:hint="eastAsia"/>
                        <w:sz w:val="21"/>
                        <w:szCs w:val="21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21"/>
                        <w:szCs w:val="21"/>
                      </w:rPr>
                      <w:fldChar w:fldCharType="separate"/>
                    </w:r>
                    <w:r>
                      <w:rPr>
                        <w:sz w:val="21"/>
                        <w:szCs w:val="21"/>
                      </w:rPr>
                      <w:t>- 10 -</w:t>
                    </w:r>
                    <w:r>
                      <w:rPr>
                        <w:rFonts w:hint="eastAsia"/>
                        <w:sz w:val="21"/>
                        <w:szCs w:val="21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5FAC"/>
    <w:rsid w:val="00005BAA"/>
    <w:rsid w:val="000B392C"/>
    <w:rsid w:val="00125FAC"/>
    <w:rsid w:val="00127F6F"/>
    <w:rsid w:val="00162A29"/>
    <w:rsid w:val="001852DE"/>
    <w:rsid w:val="001965F5"/>
    <w:rsid w:val="00196E05"/>
    <w:rsid w:val="001B31A3"/>
    <w:rsid w:val="00207623"/>
    <w:rsid w:val="0024750C"/>
    <w:rsid w:val="002A397A"/>
    <w:rsid w:val="002C19FC"/>
    <w:rsid w:val="00334DFB"/>
    <w:rsid w:val="00377211"/>
    <w:rsid w:val="003838FD"/>
    <w:rsid w:val="003C0C15"/>
    <w:rsid w:val="004A3479"/>
    <w:rsid w:val="004D6E37"/>
    <w:rsid w:val="004E79D5"/>
    <w:rsid w:val="0051511D"/>
    <w:rsid w:val="00583109"/>
    <w:rsid w:val="005C4BFD"/>
    <w:rsid w:val="005E427E"/>
    <w:rsid w:val="0060448E"/>
    <w:rsid w:val="00612ECF"/>
    <w:rsid w:val="00613E7A"/>
    <w:rsid w:val="006A1BB4"/>
    <w:rsid w:val="007C5FD2"/>
    <w:rsid w:val="00845860"/>
    <w:rsid w:val="008A08E8"/>
    <w:rsid w:val="008A2F34"/>
    <w:rsid w:val="008D7DD2"/>
    <w:rsid w:val="008E57A8"/>
    <w:rsid w:val="00925F66"/>
    <w:rsid w:val="00975602"/>
    <w:rsid w:val="00976444"/>
    <w:rsid w:val="009A1FE2"/>
    <w:rsid w:val="009C320E"/>
    <w:rsid w:val="00A02B5D"/>
    <w:rsid w:val="00AF02DE"/>
    <w:rsid w:val="00B62460"/>
    <w:rsid w:val="00BC0D2F"/>
    <w:rsid w:val="00C15DCD"/>
    <w:rsid w:val="00C56A03"/>
    <w:rsid w:val="00D56ECE"/>
    <w:rsid w:val="00DA4FD4"/>
    <w:rsid w:val="00DF06AF"/>
    <w:rsid w:val="00E56EAF"/>
    <w:rsid w:val="00E72D14"/>
    <w:rsid w:val="00E92F74"/>
    <w:rsid w:val="00F34146"/>
    <w:rsid w:val="00F6036E"/>
    <w:rsid w:val="00F97444"/>
    <w:rsid w:val="00FC2311"/>
    <w:rsid w:val="00FD4637"/>
    <w:rsid w:val="00FE26A6"/>
    <w:rsid w:val="01DE6C03"/>
    <w:rsid w:val="1A1E4A37"/>
    <w:rsid w:val="295349BA"/>
    <w:rsid w:val="2D960430"/>
    <w:rsid w:val="3FA635D0"/>
    <w:rsid w:val="43AD026E"/>
    <w:rsid w:val="43D4193A"/>
    <w:rsid w:val="537D4091"/>
    <w:rsid w:val="7A876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_GB2312" w:eastAsia="仿宋_GB2312" w:hAnsiTheme="minorHAnsi" w:cstheme="minorBidi"/>
      <w:kern w:val="2"/>
      <w:sz w:val="32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jc w:val="center"/>
      <w:outlineLvl w:val="0"/>
    </w:pPr>
    <w:rPr>
      <w:rFonts w:ascii="方正小标宋_GBK" w:eastAsia="方正小标宋_GBK"/>
      <w:sz w:val="44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9">
    <w:name w:val="标题 1 字符"/>
    <w:basedOn w:val="8"/>
    <w:link w:val="2"/>
    <w:qFormat/>
    <w:uiPriority w:val="9"/>
    <w:rPr>
      <w:rFonts w:ascii="方正小标宋_GBK" w:eastAsia="方正小标宋_GBK"/>
      <w:sz w:val="44"/>
    </w:rPr>
  </w:style>
  <w:style w:type="character" w:customStyle="1" w:styleId="10">
    <w:name w:val="页眉 字符"/>
    <w:basedOn w:val="8"/>
    <w:link w:val="5"/>
    <w:qFormat/>
    <w:uiPriority w:val="99"/>
    <w:rPr>
      <w:rFonts w:ascii="仿宋_GB2312" w:eastAsia="仿宋_GB2312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仿宋_GB2312" w:eastAsia="仿宋_GB2312"/>
      <w:sz w:val="18"/>
      <w:szCs w:val="18"/>
    </w:rPr>
  </w:style>
  <w:style w:type="paragraph" w:styleId="12">
    <w:name w:val="List Paragraph"/>
    <w:basedOn w:val="1"/>
    <w:qFormat/>
    <w:uiPriority w:val="34"/>
    <w:pPr>
      <w:ind w:firstLine="420" w:firstLineChars="200"/>
    </w:pPr>
  </w:style>
  <w:style w:type="character" w:customStyle="1" w:styleId="13">
    <w:name w:val="批注框文本 字符"/>
    <w:basedOn w:val="8"/>
    <w:link w:val="3"/>
    <w:semiHidden/>
    <w:qFormat/>
    <w:uiPriority w:val="99"/>
    <w:rPr>
      <w:rFonts w:ascii="仿宋_GB2312" w:eastAsia="仿宋_GB231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9</Pages>
  <Words>481</Words>
  <Characters>2747</Characters>
  <Lines>22</Lines>
  <Paragraphs>6</Paragraphs>
  <TotalTime>12</TotalTime>
  <ScaleCrop>false</ScaleCrop>
  <LinksUpToDate>false</LinksUpToDate>
  <CharactersWithSpaces>3222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2020-03-03T01:56:00Z</dcterms:created>
  <dc:creator>ys-pc</dc:creator>
  <cp:lastModifiedBy>~~~^_^</cp:lastModifiedBy>
  <cp:lastPrinted>2020-03-03T07:59:00Z</cp:lastPrinted>
  <dcterms:modified xsi:type="dcterms:W3CDTF">2020-12-14T07:39:03Z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