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rPr>
          <w:rFonts w:ascii="方正小标宋_GBK" w:eastAsia="方正小标宋_GBK"/>
          <w:sz w:val="40"/>
        </w:rPr>
      </w:pPr>
    </w:p>
    <w:p>
      <w:pPr>
        <w:jc w:val="center"/>
        <w:rPr>
          <w:rFonts w:ascii="方正小标宋_GBK" w:eastAsia="方正小标宋_GBK"/>
          <w:w w:val="85"/>
          <w:sz w:val="56"/>
        </w:rPr>
      </w:pPr>
      <w:r>
        <w:rPr>
          <w:rFonts w:hint="eastAsia" w:ascii="方正小标宋_GBK" w:eastAsia="方正小标宋_GBK"/>
          <w:w w:val="85"/>
          <w:sz w:val="56"/>
        </w:rPr>
        <w:t>濮阳市华龙区房屋征收与补偿办公室</w:t>
      </w:r>
    </w:p>
    <w:p>
      <w:pPr>
        <w:jc w:val="center"/>
        <w:rPr>
          <w:rFonts w:ascii="方正小标宋_GBK" w:eastAsia="方正小标宋_GBK"/>
          <w:spacing w:val="-20"/>
          <w:sz w:val="44"/>
        </w:rPr>
      </w:pPr>
      <w:r>
        <w:rPr>
          <w:rFonts w:hint="eastAsia" w:ascii="方正小标宋_GBK" w:eastAsia="方正小标宋_GBK"/>
          <w:w w:val="85"/>
          <w:sz w:val="56"/>
        </w:rPr>
        <w:t>2020年部门预算公开说明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楷体_GB2312" w:eastAsia="楷体_GB2312"/>
          <w:b/>
          <w:w w:val="90"/>
          <w:sz w:val="40"/>
        </w:rPr>
      </w:pPr>
    </w:p>
    <w:p>
      <w:pPr>
        <w:jc w:val="center"/>
        <w:rPr>
          <w:rFonts w:ascii="方正小标宋_GBK" w:eastAsia="方正小标宋_GBK"/>
          <w:sz w:val="40"/>
        </w:rPr>
      </w:pPr>
      <w:r>
        <w:rPr>
          <w:rFonts w:hint="eastAsia" w:ascii="楷体_GB2312" w:eastAsia="楷体_GB2312"/>
          <w:b/>
          <w:w w:val="90"/>
          <w:sz w:val="40"/>
        </w:rPr>
        <w:t>二</w:t>
      </w:r>
      <w:r>
        <w:rPr>
          <w:rFonts w:hint="eastAsia" w:ascii="宋体" w:hAnsi="宋体" w:cs="宋体"/>
          <w:b/>
          <w:w w:val="90"/>
          <w:sz w:val="40"/>
        </w:rPr>
        <w:t>〇二〇</w:t>
      </w:r>
      <w:r>
        <w:rPr>
          <w:rFonts w:hint="eastAsia" w:ascii="楷体_GB2312" w:hAnsi="楷体_GB2312" w:eastAsia="楷体_GB2312" w:cs="楷体_GB2312"/>
          <w:b/>
          <w:w w:val="90"/>
          <w:sz w:val="40"/>
        </w:rPr>
        <w:t>年六月</w:t>
      </w:r>
    </w:p>
    <w:p>
      <w:pPr>
        <w:jc w:val="center"/>
        <w:rPr>
          <w:rFonts w:ascii="方正小标宋_GBK" w:eastAsia="方正小标宋_GBK"/>
          <w:sz w:val="32"/>
        </w:rPr>
      </w:pPr>
      <w:r>
        <w:rPr>
          <w:rFonts w:ascii="方正小标宋_GBK" w:eastAsia="方正小标宋_GBK"/>
          <w:sz w:val="32"/>
        </w:rPr>
        <w:br w:type="page"/>
      </w:r>
    </w:p>
    <w:p>
      <w:pPr>
        <w:pStyle w:val="4"/>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4"/>
        <w:topLinePunct/>
        <w:spacing w:before="0" w:beforeAutospacing="0" w:after="0" w:afterAutospacing="0" w:line="360" w:lineRule="auto"/>
        <w:jc w:val="center"/>
        <w:rPr>
          <w:rFonts w:ascii="黑体" w:hAnsi="黑体" w:eastAsia="黑体"/>
          <w:color w:val="000000"/>
          <w:sz w:val="36"/>
          <w:szCs w:val="32"/>
        </w:rPr>
      </w:pPr>
    </w:p>
    <w:p>
      <w:pPr>
        <w:pStyle w:val="4"/>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一、部门主要职责</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二、机构设置情况</w:t>
      </w:r>
    </w:p>
    <w:p>
      <w:pPr>
        <w:pStyle w:val="4"/>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2020年部门预算情况说明</w:t>
      </w:r>
    </w:p>
    <w:p>
      <w:pPr>
        <w:pStyle w:val="4"/>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4"/>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附件：濮阳市华龙区房屋征收与补偿办公室2020年部门预算表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一、部门收支总表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二、部门收入总表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三、部门支出总表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四、财政拨款收支总表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五、一般公共预算支出表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六、一般公共预算基本支出表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七、一般公共预算“三公”经费支出表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 w:val="32"/>
          <w:szCs w:val="32"/>
        </w:rPr>
      </w:pPr>
    </w:p>
    <w:p>
      <w:pPr>
        <w:rPr>
          <w:rFonts w:ascii="黑体" w:hAnsi="黑体" w:eastAsia="黑体"/>
          <w:sz w:val="32"/>
          <w:szCs w:val="32"/>
        </w:rPr>
      </w:pPr>
      <w:r>
        <w:rPr>
          <w:rFonts w:ascii="黑体" w:hAnsi="黑体" w:eastAsia="黑体"/>
          <w:sz w:val="32"/>
          <w:szCs w:val="32"/>
        </w:rPr>
        <w:br w:type="page"/>
      </w:r>
    </w:p>
    <w:p>
      <w:pPr>
        <w:ind w:firstLine="640" w:firstLineChars="200"/>
        <w:rPr>
          <w:rFonts w:ascii="黑体" w:hAnsi="黑体" w:eastAsia="黑体"/>
          <w:sz w:val="32"/>
          <w:szCs w:val="32"/>
        </w:rPr>
      </w:pP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 w:val="32"/>
          <w:szCs w:val="32"/>
        </w:rPr>
      </w:pPr>
      <w:r>
        <w:rPr>
          <w:rFonts w:ascii="黑体" w:hAnsi="黑体" w:eastAsia="黑体"/>
          <w:sz w:val="32"/>
          <w:szCs w:val="32"/>
        </w:rPr>
        <w:t> </w:t>
      </w:r>
    </w:p>
    <w:p>
      <w:pPr>
        <w:ind w:firstLine="640" w:firstLineChars="200"/>
        <w:rPr>
          <w:rFonts w:ascii="黑体" w:hAnsi="黑体" w:eastAsia="黑体"/>
          <w:sz w:val="32"/>
          <w:szCs w:val="32"/>
        </w:rPr>
      </w:pPr>
      <w:r>
        <w:rPr>
          <w:rFonts w:hint="eastAsia" w:ascii="黑体" w:hAnsi="黑体" w:eastAsia="黑体"/>
          <w:sz w:val="32"/>
          <w:szCs w:val="32"/>
        </w:rPr>
        <w:t>一、部门主要职责</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濮阳市华龙区房屋征收与补偿办公室主要职责：</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1.贯彻执行上级有关国有土地上房屋征收与补偿管理、城中村改造的法律、法规、规章和规范性文件；负责拟定本行政区域内国有土地上房屋征收与补偿及城中村改造的相关规范性文件。</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负责组织编制房屋征收、城中村改造规划和年度计划；负责拟定房屋征收决定和房屋征收补偿方案；负责审定城中村改造方案；对征收范围内的房屋组织调查登记；与被征收人订立房屋征收补偿协议；拟定房屋征收补偿决定；监督管理房屋征收补偿资金和城中村改造安置建设资金的存储、使用；负责做好房屋征收与补偿的宣传、解释工作。</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3.负责办理房屋征收与补偿工作引起的行政复议和行政诉讼等法律事务，负责协调处理房屋征收与补偿等方面的纠纷。</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4.参与安置房建设监督管理工作，负责安置房统筹调拨管理。</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5.负责房屋征收与补偿和城中村改造档案管理工作。</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6.负责监督房屋征收实施单位在委托范围内实施的房屋征收与补偿行为。</w:t>
      </w:r>
    </w:p>
    <w:p>
      <w:pPr>
        <w:widowControl/>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7.协调做好改造后城中村的户籍制度、管理体制、经济组织形式和土地性质同步转变工作。</w:t>
      </w:r>
    </w:p>
    <w:p>
      <w:pPr>
        <w:ind w:firstLine="640" w:firstLineChars="200"/>
        <w:rPr>
          <w:rFonts w:ascii="仿宋" w:hAnsi="仿宋" w:eastAsia="仿宋"/>
          <w:sz w:val="32"/>
          <w:szCs w:val="32"/>
        </w:rPr>
      </w:pPr>
      <w:r>
        <w:rPr>
          <w:rFonts w:hint="eastAsia" w:ascii="仿宋_GB2312" w:hAnsi="仿宋_GB2312" w:eastAsia="仿宋_GB2312" w:cs="仿宋_GB2312"/>
          <w:kern w:val="0"/>
          <w:sz w:val="32"/>
          <w:szCs w:val="32"/>
        </w:rPr>
        <w:t>8.承办区委、区政府交办的其他事项。</w:t>
      </w:r>
    </w:p>
    <w:p>
      <w:pPr>
        <w:ind w:firstLine="640" w:firstLineChars="200"/>
        <w:rPr>
          <w:rFonts w:ascii="黑体" w:hAnsi="黑体" w:eastAsia="黑体"/>
          <w:sz w:val="32"/>
          <w:szCs w:val="32"/>
        </w:rPr>
      </w:pPr>
      <w:r>
        <w:rPr>
          <w:rFonts w:hint="eastAsia" w:ascii="黑体" w:hAnsi="黑体" w:eastAsia="黑体"/>
          <w:sz w:val="32"/>
          <w:szCs w:val="32"/>
        </w:rPr>
        <w:t>二、机构设置情况</w:t>
      </w:r>
    </w:p>
    <w:p>
      <w:pPr>
        <w:ind w:firstLine="640" w:firstLineChars="200"/>
        <w:rPr>
          <w:rFonts w:ascii="仿宋" w:hAnsi="仿宋" w:eastAsia="仿宋"/>
          <w:sz w:val="32"/>
          <w:szCs w:val="32"/>
        </w:rPr>
      </w:pPr>
      <w:r>
        <w:rPr>
          <w:rFonts w:hint="eastAsia" w:ascii="仿宋" w:hAnsi="仿宋" w:eastAsia="仿宋"/>
          <w:sz w:val="32"/>
          <w:szCs w:val="32"/>
        </w:rPr>
        <w:t>根据工作职责及实际工作需要，华龙区征收办设有</w:t>
      </w:r>
      <w:r>
        <w:rPr>
          <w:rFonts w:hint="eastAsia" w:ascii="仿宋_GB2312" w:hAnsi="仿宋_GB2312" w:eastAsia="仿宋_GB2312" w:cs="仿宋_GB2312"/>
          <w:kern w:val="0"/>
          <w:sz w:val="32"/>
          <w:szCs w:val="32"/>
        </w:rPr>
        <w:t>综合股、房屋征收股、房屋补偿股、计划财务股、法规股、城中村改造管理股</w:t>
      </w:r>
      <w:r>
        <w:rPr>
          <w:rFonts w:hint="eastAsia" w:ascii="仿宋" w:hAnsi="仿宋" w:eastAsia="仿宋"/>
          <w:sz w:val="32"/>
          <w:szCs w:val="32"/>
        </w:rPr>
        <w:t>等6个内设机构，本部门经费实行全额预算管理，无独立核算的下属预算单位，部门本级预算即汇总预算。</w:t>
      </w:r>
    </w:p>
    <w:p>
      <w:pPr>
        <w:ind w:firstLine="640" w:firstLineChars="200"/>
        <w:rPr>
          <w:rFonts w:ascii="仿宋" w:hAnsi="仿宋" w:eastAsia="仿宋"/>
          <w:sz w:val="32"/>
          <w:szCs w:val="32"/>
        </w:rPr>
      </w:pPr>
    </w:p>
    <w:p>
      <w:pPr>
        <w:ind w:firstLine="640" w:firstLineChars="200"/>
        <w:rPr>
          <w:rFonts w:ascii="黑体" w:hAnsi="黑体" w:eastAsia="黑体"/>
          <w:sz w:val="32"/>
          <w:szCs w:val="32"/>
        </w:rPr>
      </w:pP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2020年部门预算情况说明</w:t>
      </w:r>
    </w:p>
    <w:p>
      <w:pPr>
        <w:ind w:firstLine="640" w:firstLineChars="200"/>
        <w:rPr>
          <w:rFonts w:ascii="华文仿宋" w:hAnsi="华文仿宋" w:eastAsia="华文仿宋"/>
          <w:sz w:val="32"/>
          <w:szCs w:val="32"/>
        </w:rPr>
      </w:pPr>
    </w:p>
    <w:p>
      <w:pPr>
        <w:ind w:firstLine="640" w:firstLineChars="200"/>
        <w:rPr>
          <w:rFonts w:ascii="黑体" w:hAnsi="黑体" w:eastAsia="黑体"/>
          <w:sz w:val="32"/>
          <w:szCs w:val="32"/>
        </w:rPr>
      </w:pPr>
      <w:r>
        <w:rPr>
          <w:rFonts w:hint="eastAsia" w:ascii="黑体" w:hAnsi="黑体" w:eastAsia="黑体"/>
          <w:sz w:val="32"/>
          <w:szCs w:val="32"/>
        </w:rPr>
        <w:t>一、本级预算和所属单位预算在内的汇总预算总体情况</w:t>
      </w:r>
    </w:p>
    <w:p>
      <w:pPr>
        <w:ind w:firstLine="640" w:firstLineChars="200"/>
        <w:rPr>
          <w:rFonts w:ascii="仿宋" w:hAnsi="仿宋" w:eastAsia="仿宋"/>
          <w:sz w:val="32"/>
          <w:szCs w:val="32"/>
        </w:rPr>
      </w:pPr>
      <w:r>
        <w:rPr>
          <w:rFonts w:hint="eastAsia" w:ascii="仿宋" w:hAnsi="仿宋" w:eastAsia="仿宋"/>
          <w:sz w:val="32"/>
          <w:szCs w:val="32"/>
        </w:rPr>
        <w:t>本部门无独立核算的下属预算单位，部门本级预算即汇总预算。</w:t>
      </w:r>
      <w:r>
        <w:rPr>
          <w:rFonts w:ascii="仿宋" w:hAnsi="仿宋" w:eastAsia="仿宋"/>
          <w:sz w:val="32"/>
          <w:szCs w:val="32"/>
        </w:rPr>
        <w:t>20</w:t>
      </w:r>
      <w:r>
        <w:rPr>
          <w:rFonts w:hint="eastAsia" w:ascii="仿宋" w:hAnsi="仿宋" w:eastAsia="仿宋"/>
          <w:sz w:val="32"/>
          <w:szCs w:val="32"/>
        </w:rPr>
        <w:t>20年本部门财政预算收入总计264.74万元，支出总计264.74万元。</w:t>
      </w:r>
    </w:p>
    <w:p>
      <w:pPr>
        <w:ind w:firstLine="640" w:firstLineChars="200"/>
        <w:rPr>
          <w:rFonts w:ascii="黑体" w:hAnsi="黑体" w:eastAsia="黑体"/>
          <w:sz w:val="32"/>
          <w:szCs w:val="32"/>
        </w:rPr>
      </w:pPr>
      <w:r>
        <w:rPr>
          <w:rFonts w:hint="eastAsia" w:ascii="黑体" w:hAnsi="黑体" w:eastAsia="黑体"/>
          <w:sz w:val="32"/>
          <w:szCs w:val="32"/>
        </w:rPr>
        <w:t>二、部门预算收支增减变动情况</w:t>
      </w:r>
    </w:p>
    <w:p>
      <w:pPr>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20年本部门财政预算收入总计264.74万元，支出总计264.74万元。其中：基本支出168.84万元，占比64%，项目支出95.9万元，占比36%。</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2020年本部门财政预算</w:t>
      </w:r>
      <w:r>
        <w:rPr>
          <w:rFonts w:hint="eastAsia" w:ascii="仿宋" w:hAnsi="仿宋" w:eastAsia="仿宋"/>
          <w:sz w:val="32"/>
          <w:szCs w:val="32"/>
          <w:lang w:val="en-US" w:eastAsia="zh-CN"/>
        </w:rPr>
        <w:t>收入和支出均</w:t>
      </w:r>
      <w:r>
        <w:rPr>
          <w:rFonts w:hint="eastAsia" w:ascii="仿宋" w:hAnsi="仿宋" w:eastAsia="仿宋"/>
          <w:sz w:val="32"/>
          <w:szCs w:val="32"/>
        </w:rPr>
        <w:t>较上年减少</w:t>
      </w:r>
      <w:r>
        <w:rPr>
          <w:rFonts w:hint="eastAsia" w:ascii="仿宋" w:hAnsi="仿宋" w:eastAsia="仿宋"/>
          <w:color w:val="000000" w:themeColor="text1"/>
          <w:sz w:val="32"/>
          <w:szCs w:val="32"/>
          <w14:textFill>
            <w14:solidFill>
              <w14:schemeClr w14:val="tx1"/>
            </w14:solidFill>
          </w14:textFill>
        </w:rPr>
        <w:t>119.83</w:t>
      </w:r>
      <w:r>
        <w:rPr>
          <w:rFonts w:hint="eastAsia" w:ascii="仿宋" w:hAnsi="仿宋" w:eastAsia="仿宋"/>
          <w:sz w:val="32"/>
          <w:szCs w:val="32"/>
        </w:rPr>
        <w:t>万元，减少</w:t>
      </w:r>
      <w:r>
        <w:rPr>
          <w:rFonts w:hint="eastAsia" w:ascii="仿宋" w:hAnsi="仿宋" w:eastAsia="仿宋"/>
          <w:color w:val="000000" w:themeColor="text1"/>
          <w:sz w:val="32"/>
          <w:szCs w:val="32"/>
          <w14:textFill>
            <w14:solidFill>
              <w14:schemeClr w14:val="tx1"/>
            </w14:solidFill>
          </w14:textFill>
        </w:rPr>
        <w:t>45</w:t>
      </w:r>
      <w:r>
        <w:rPr>
          <w:rFonts w:ascii="仿宋" w:hAnsi="仿宋" w:eastAsia="仿宋"/>
          <w:sz w:val="32"/>
          <w:szCs w:val="32"/>
        </w:rPr>
        <w:t>%</w:t>
      </w:r>
      <w:r>
        <w:rPr>
          <w:rFonts w:hint="eastAsia" w:ascii="仿宋" w:hAnsi="仿宋" w:eastAsia="仿宋"/>
          <w:sz w:val="32"/>
          <w:szCs w:val="32"/>
        </w:rPr>
        <w:t>。主要原因是节约开支</w:t>
      </w:r>
      <w:r>
        <w:rPr>
          <w:rFonts w:hint="eastAsia" w:ascii="仿宋" w:hAnsi="仿宋" w:eastAsia="仿宋"/>
          <w:color w:val="000000" w:themeColor="text1"/>
          <w:sz w:val="32"/>
          <w:szCs w:val="32"/>
          <w14:textFill>
            <w14:solidFill>
              <w14:schemeClr w14:val="tx1"/>
            </w14:solidFill>
          </w14:textFill>
        </w:rPr>
        <w:t>，以及人员减少。</w:t>
      </w:r>
    </w:p>
    <w:p>
      <w:pPr>
        <w:ind w:firstLine="640" w:firstLineChars="200"/>
        <w:rPr>
          <w:rFonts w:ascii="黑体" w:hAnsi="黑体" w:eastAsia="黑体"/>
          <w:sz w:val="32"/>
          <w:szCs w:val="48"/>
        </w:rPr>
      </w:pPr>
      <w:r>
        <w:rPr>
          <w:rFonts w:hint="eastAsia" w:ascii="黑体" w:hAnsi="黑体" w:eastAsia="黑体"/>
          <w:sz w:val="32"/>
          <w:szCs w:val="48"/>
        </w:rPr>
        <w:t>三、一般公共预算基本支出情况</w:t>
      </w:r>
    </w:p>
    <w:p>
      <w:pPr>
        <w:ind w:firstLine="640" w:firstLineChars="200"/>
        <w:rPr>
          <w:rFonts w:hint="eastAsia" w:ascii="仿宋" w:hAnsi="仿宋" w:eastAsia="仿宋"/>
          <w:sz w:val="32"/>
          <w:szCs w:val="32"/>
        </w:rPr>
      </w:pPr>
      <w:r>
        <w:rPr>
          <w:rFonts w:hint="eastAsia" w:ascii="仿宋" w:hAnsi="仿宋" w:eastAsia="仿宋"/>
          <w:sz w:val="32"/>
          <w:szCs w:val="48"/>
        </w:rPr>
        <w:t>2020年本部门一般公共预算基本支出</w:t>
      </w:r>
      <w:r>
        <w:rPr>
          <w:rFonts w:ascii="仿宋" w:hAnsi="仿宋" w:eastAsia="仿宋"/>
          <w:sz w:val="32"/>
          <w:szCs w:val="48"/>
        </w:rPr>
        <w:t>168.84</w:t>
      </w:r>
      <w:r>
        <w:rPr>
          <w:rFonts w:hint="eastAsia" w:ascii="仿宋" w:hAnsi="仿宋" w:eastAsia="仿宋"/>
          <w:sz w:val="32"/>
          <w:szCs w:val="48"/>
        </w:rPr>
        <w:t>万元，其中：人员经费</w:t>
      </w:r>
      <w:r>
        <w:rPr>
          <w:rFonts w:ascii="仿宋" w:hAnsi="仿宋" w:eastAsia="仿宋"/>
          <w:sz w:val="32"/>
          <w:szCs w:val="48"/>
        </w:rPr>
        <w:t>159.64</w:t>
      </w:r>
      <w:r>
        <w:rPr>
          <w:rFonts w:hint="eastAsia" w:ascii="仿宋" w:hAnsi="仿宋" w:eastAsia="仿宋"/>
          <w:sz w:val="32"/>
          <w:szCs w:val="48"/>
        </w:rPr>
        <w:t>万元，主要包括：基本工资、津贴补贴、绩效工资、机关事业单位基本养老保险缴费、医疗保险缴费、其他社会保障缴费、住房公积金；公用经费</w:t>
      </w:r>
      <w:r>
        <w:rPr>
          <w:rFonts w:ascii="仿宋" w:hAnsi="仿宋" w:eastAsia="仿宋"/>
          <w:sz w:val="32"/>
          <w:szCs w:val="48"/>
        </w:rPr>
        <w:t>9.2</w:t>
      </w:r>
      <w:r>
        <w:rPr>
          <w:rFonts w:hint="eastAsia" w:ascii="仿宋" w:hAnsi="仿宋" w:eastAsia="仿宋"/>
          <w:sz w:val="32"/>
          <w:szCs w:val="48"/>
        </w:rPr>
        <w:t>万元，主要包括：办公费、维修（护）费、公务用车运行维护费、其他商品和服务支出等。</w:t>
      </w:r>
    </w:p>
    <w:p>
      <w:pPr>
        <w:ind w:firstLine="640" w:firstLineChars="200"/>
        <w:rPr>
          <w:rFonts w:ascii="黑体" w:hAnsi="黑体" w:eastAsia="黑体"/>
          <w:sz w:val="32"/>
          <w:szCs w:val="32"/>
        </w:rPr>
      </w:pPr>
      <w:r>
        <w:rPr>
          <w:rFonts w:hint="eastAsia" w:ascii="黑体" w:hAnsi="黑体" w:eastAsia="黑体"/>
          <w:sz w:val="32"/>
          <w:szCs w:val="32"/>
        </w:rPr>
        <w:t>四、机关运行经费安排情况</w:t>
      </w:r>
    </w:p>
    <w:p>
      <w:pPr>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20年本部门机关运行经费安排9.2万元，主要用于</w:t>
      </w:r>
      <w:r>
        <w:rPr>
          <w:rFonts w:hint="eastAsia" w:ascii="仿宋" w:hAnsi="仿宋" w:eastAsia="仿宋"/>
          <w:sz w:val="32"/>
          <w:szCs w:val="48"/>
        </w:rPr>
        <w:t>办公费、维修（护）费、公务用车运行维护费、其他商品和服务支出等</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sz w:val="32"/>
          <w:szCs w:val="32"/>
        </w:rPr>
        <w:t>比上年减少0.8万元，减少9%，主要原因是深入贯彻落实中央八项规定和厉行节约有关精神以及人员减少。</w:t>
      </w:r>
    </w:p>
    <w:p>
      <w:pPr>
        <w:ind w:firstLine="640" w:firstLineChars="200"/>
        <w:rPr>
          <w:rFonts w:ascii="黑体" w:hAnsi="黑体" w:eastAsia="黑体"/>
          <w:sz w:val="32"/>
          <w:szCs w:val="32"/>
        </w:rPr>
      </w:pPr>
      <w:r>
        <w:rPr>
          <w:rFonts w:hint="eastAsia" w:ascii="黑体" w:hAnsi="黑体" w:eastAsia="黑体"/>
          <w:sz w:val="32"/>
          <w:szCs w:val="32"/>
        </w:rPr>
        <w:t>五、“三公”经费安排情况</w:t>
      </w:r>
    </w:p>
    <w:p>
      <w:pPr>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20年本部门“三公”经费预算3.6万元，较上年增加3.6万元，主要是由于工作需要，增加公务用车运行维护维修开支。</w:t>
      </w:r>
    </w:p>
    <w:p>
      <w:pPr>
        <w:ind w:firstLine="640" w:firstLineChars="200"/>
        <w:rPr>
          <w:rFonts w:ascii="仿宋" w:hAnsi="仿宋" w:eastAsia="仿宋"/>
          <w:sz w:val="32"/>
          <w:szCs w:val="32"/>
        </w:rPr>
      </w:pPr>
      <w:r>
        <w:rPr>
          <w:rFonts w:hint="eastAsia" w:ascii="仿宋" w:hAnsi="仿宋" w:eastAsia="仿宋"/>
          <w:sz w:val="32"/>
          <w:szCs w:val="32"/>
        </w:rPr>
        <w:t>1.因公出国（境）费0万元；</w:t>
      </w:r>
    </w:p>
    <w:p>
      <w:pPr>
        <w:ind w:firstLine="640" w:firstLineChars="200"/>
        <w:rPr>
          <w:rFonts w:ascii="仿宋" w:hAnsi="仿宋" w:eastAsia="仿宋"/>
          <w:sz w:val="32"/>
          <w:szCs w:val="32"/>
        </w:rPr>
      </w:pPr>
      <w:r>
        <w:rPr>
          <w:rFonts w:hint="eastAsia" w:ascii="仿宋" w:hAnsi="仿宋" w:eastAsia="仿宋"/>
          <w:sz w:val="32"/>
          <w:szCs w:val="32"/>
        </w:rPr>
        <w:t>2.公务用车购置及运行费3.6万元，其中：公务用车购置0万元，公务用车运行费3.6万元。</w:t>
      </w:r>
    </w:p>
    <w:p>
      <w:pPr>
        <w:ind w:firstLine="640" w:firstLineChars="200"/>
        <w:rPr>
          <w:rFonts w:ascii="仿宋" w:hAnsi="仿宋" w:eastAsia="仿宋"/>
          <w:sz w:val="32"/>
          <w:szCs w:val="32"/>
        </w:rPr>
      </w:pPr>
      <w:r>
        <w:rPr>
          <w:rFonts w:hint="eastAsia" w:ascii="仿宋" w:hAnsi="仿宋" w:eastAsia="仿宋"/>
          <w:sz w:val="32"/>
          <w:szCs w:val="32"/>
        </w:rPr>
        <w:t>3.公务接待费0万元。</w:t>
      </w:r>
    </w:p>
    <w:p>
      <w:pPr>
        <w:ind w:firstLine="640" w:firstLineChars="200"/>
        <w:rPr>
          <w:rFonts w:ascii="仿宋" w:hAnsi="仿宋" w:eastAsia="仿宋"/>
          <w:sz w:val="32"/>
          <w:szCs w:val="32"/>
        </w:rPr>
      </w:pPr>
      <w:r>
        <w:rPr>
          <w:rFonts w:hint="eastAsia" w:ascii="黑体" w:hAnsi="黑体" w:eastAsia="黑体"/>
          <w:sz w:val="32"/>
          <w:szCs w:val="32"/>
        </w:rPr>
        <w:t>六、政府采购安排情况</w:t>
      </w:r>
    </w:p>
    <w:p>
      <w:pPr>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20年本部门无政府采购预算安排。</w:t>
      </w:r>
    </w:p>
    <w:p>
      <w:pPr>
        <w:ind w:firstLine="640" w:firstLineChars="200"/>
        <w:rPr>
          <w:rFonts w:ascii="黑体" w:hAnsi="黑体" w:eastAsia="黑体"/>
          <w:sz w:val="32"/>
          <w:szCs w:val="32"/>
        </w:rPr>
      </w:pPr>
      <w:r>
        <w:rPr>
          <w:rFonts w:hint="eastAsia" w:ascii="黑体" w:hAnsi="黑体" w:eastAsia="黑体"/>
          <w:sz w:val="32"/>
          <w:szCs w:val="32"/>
        </w:rPr>
        <w:t>七、政府性基金预算安排情况</w:t>
      </w:r>
    </w:p>
    <w:p>
      <w:pPr>
        <w:ind w:firstLine="640" w:firstLineChars="200"/>
        <w:rPr>
          <w:rFonts w:ascii="仿宋" w:hAnsi="仿宋" w:eastAsia="仿宋"/>
          <w:sz w:val="32"/>
          <w:szCs w:val="32"/>
        </w:rPr>
      </w:pPr>
      <w:r>
        <w:rPr>
          <w:rFonts w:hint="eastAsia" w:ascii="仿宋" w:hAnsi="仿宋" w:eastAsia="仿宋"/>
          <w:sz w:val="32"/>
          <w:szCs w:val="32"/>
        </w:rPr>
        <w:t>本部门无政府性基金预算</w:t>
      </w:r>
      <w:r>
        <w:rPr>
          <w:rFonts w:hint="eastAsia" w:ascii="仿宋" w:hAnsi="仿宋" w:eastAsia="仿宋"/>
          <w:sz w:val="32"/>
          <w:szCs w:val="32"/>
          <w:lang w:val="en-US" w:eastAsia="zh-CN"/>
        </w:rPr>
        <w:t>收支</w:t>
      </w:r>
      <w:r>
        <w:rPr>
          <w:rFonts w:hint="eastAsia" w:ascii="仿宋" w:hAnsi="仿宋" w:eastAsia="仿宋"/>
          <w:sz w:val="32"/>
          <w:szCs w:val="32"/>
        </w:rPr>
        <w:t>安排</w:t>
      </w:r>
      <w:r>
        <w:rPr>
          <w:rFonts w:hint="eastAsia" w:ascii="仿宋" w:hAnsi="仿宋" w:eastAsia="仿宋"/>
          <w:sz w:val="32"/>
          <w:szCs w:val="32"/>
          <w:lang w:eastAsia="zh-CN"/>
        </w:rPr>
        <w:t>，</w:t>
      </w:r>
      <w:r>
        <w:rPr>
          <w:rFonts w:hint="eastAsia" w:ascii="仿宋" w:hAnsi="仿宋" w:eastAsia="仿宋"/>
          <w:sz w:val="32"/>
          <w:szCs w:val="32"/>
          <w:lang w:val="en-US" w:eastAsia="zh-CN"/>
        </w:rPr>
        <w:t>较上年无变动</w:t>
      </w:r>
      <w:bookmarkStart w:id="0" w:name="_GoBack"/>
      <w:bookmarkEnd w:id="0"/>
      <w:r>
        <w:rPr>
          <w:rFonts w:hint="eastAsia" w:ascii="仿宋" w:hAnsi="仿宋" w:eastAsia="仿宋"/>
          <w:sz w:val="32"/>
          <w:szCs w:val="32"/>
        </w:rPr>
        <w:t>。</w:t>
      </w:r>
    </w:p>
    <w:p>
      <w:pPr>
        <w:ind w:firstLine="640" w:firstLineChars="200"/>
        <w:rPr>
          <w:rFonts w:ascii="黑体" w:hAnsi="黑体" w:eastAsia="黑体"/>
          <w:sz w:val="32"/>
          <w:szCs w:val="32"/>
        </w:rPr>
      </w:pPr>
      <w:r>
        <w:rPr>
          <w:rFonts w:hint="eastAsia" w:ascii="黑体" w:hAnsi="黑体" w:eastAsia="黑体"/>
          <w:sz w:val="32"/>
          <w:szCs w:val="32"/>
        </w:rPr>
        <w:t>八、</w:t>
      </w:r>
      <w:r>
        <w:rPr>
          <w:rFonts w:ascii="黑体" w:hAnsi="黑体" w:eastAsia="黑体"/>
          <w:sz w:val="32"/>
          <w:szCs w:val="32"/>
        </w:rPr>
        <w:t>国有资产占用情况</w:t>
      </w:r>
    </w:p>
    <w:p>
      <w:pPr>
        <w:ind w:firstLine="640" w:firstLineChars="200"/>
        <w:rPr>
          <w:rFonts w:ascii="仿宋" w:hAnsi="仿宋" w:eastAsia="仿宋"/>
          <w:sz w:val="32"/>
          <w:szCs w:val="32"/>
        </w:rPr>
      </w:pPr>
      <w:r>
        <w:rPr>
          <w:rFonts w:ascii="仿宋" w:hAnsi="仿宋" w:eastAsia="仿宋"/>
          <w:sz w:val="32"/>
          <w:szCs w:val="32"/>
        </w:rPr>
        <w:t>截止201</w:t>
      </w:r>
      <w:r>
        <w:rPr>
          <w:rFonts w:hint="eastAsia" w:ascii="仿宋" w:hAnsi="仿宋" w:eastAsia="仿宋"/>
          <w:sz w:val="32"/>
          <w:szCs w:val="32"/>
        </w:rPr>
        <w:t>9年末，本部门共有车辆1辆，其中：一般公务用车1辆、一般执法执勤用车0辆、特种专业技术用车0辆，其他用车0辆，；单位价值</w:t>
      </w:r>
      <w:r>
        <w:rPr>
          <w:rFonts w:ascii="仿宋" w:hAnsi="仿宋" w:eastAsia="仿宋"/>
          <w:sz w:val="32"/>
          <w:szCs w:val="32"/>
        </w:rPr>
        <w:t>50</w:t>
      </w:r>
      <w:r>
        <w:rPr>
          <w:rFonts w:hint="eastAsia" w:ascii="仿宋" w:hAnsi="仿宋" w:eastAsia="仿宋"/>
          <w:sz w:val="32"/>
          <w:szCs w:val="32"/>
        </w:rPr>
        <w:t>万元以上通用设备0台（套），单位价值</w:t>
      </w:r>
      <w:r>
        <w:rPr>
          <w:rFonts w:ascii="仿宋" w:hAnsi="仿宋" w:eastAsia="仿宋"/>
          <w:sz w:val="32"/>
          <w:szCs w:val="32"/>
        </w:rPr>
        <w:t>100</w:t>
      </w:r>
      <w:r>
        <w:rPr>
          <w:rFonts w:hint="eastAsia" w:ascii="仿宋" w:hAnsi="仿宋" w:eastAsia="仿宋"/>
          <w:sz w:val="32"/>
          <w:szCs w:val="32"/>
        </w:rPr>
        <w:t>万元以上专用设备0台（套）。</w:t>
      </w:r>
    </w:p>
    <w:p>
      <w:pPr>
        <w:ind w:firstLine="640" w:firstLineChars="200"/>
        <w:rPr>
          <w:rFonts w:ascii="黑体" w:hAnsi="黑体" w:eastAsia="黑体"/>
          <w:sz w:val="32"/>
          <w:szCs w:val="32"/>
        </w:rPr>
      </w:pPr>
      <w:r>
        <w:rPr>
          <w:rFonts w:hint="eastAsia" w:ascii="黑体" w:hAnsi="黑体" w:eastAsia="黑体"/>
          <w:sz w:val="32"/>
          <w:szCs w:val="32"/>
        </w:rPr>
        <w:t>九、预算绩效管理工作开展情况</w:t>
      </w:r>
    </w:p>
    <w:p>
      <w:pPr>
        <w:ind w:firstLine="640" w:firstLineChars="200"/>
        <w:rPr>
          <w:rFonts w:ascii="仿宋" w:hAnsi="仿宋" w:eastAsia="仿宋"/>
          <w:sz w:val="32"/>
          <w:szCs w:val="32"/>
        </w:rPr>
      </w:pPr>
      <w:r>
        <w:rPr>
          <w:rFonts w:hint="eastAsia" w:ascii="仿宋" w:hAnsi="仿宋" w:eastAsia="仿宋"/>
          <w:sz w:val="32"/>
          <w:szCs w:val="32"/>
        </w:rPr>
        <w:t>按照有关全面推进预算绩效管理方面的要求，本部门牢固树立“讲绩效、重绩效、用绩效”的绩效管理理念，年度预算申报时，针对政策及重点项目逐项设立并报送了预算绩效目标，努力建立健全以结果为导向的预算绩效管理工作机制。</w:t>
      </w:r>
    </w:p>
    <w:p>
      <w:pPr>
        <w:ind w:firstLine="640" w:firstLineChars="200"/>
        <w:rPr>
          <w:rFonts w:ascii="黑体" w:hAnsi="黑体" w:eastAsia="黑体"/>
          <w:sz w:val="32"/>
          <w:szCs w:val="32"/>
        </w:rPr>
      </w:pP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 w:val="32"/>
          <w:szCs w:val="32"/>
        </w:rPr>
      </w:pPr>
    </w:p>
    <w:p>
      <w:pPr>
        <w:ind w:firstLine="640"/>
        <w:rPr>
          <w:rFonts w:ascii="黑体" w:hAnsi="黑体" w:eastAsia="黑体"/>
          <w:sz w:val="32"/>
          <w:szCs w:val="32"/>
        </w:rPr>
      </w:pPr>
      <w:r>
        <w:rPr>
          <w:rFonts w:hint="eastAsia" w:ascii="黑体" w:hAnsi="黑体" w:eastAsia="黑体"/>
          <w:sz w:val="32"/>
          <w:szCs w:val="32"/>
        </w:rPr>
        <w:t>一、财政拨款收入</w:t>
      </w:r>
    </w:p>
    <w:p>
      <w:pPr>
        <w:ind w:firstLine="640"/>
        <w:rPr>
          <w:rFonts w:ascii="仿宋" w:hAnsi="仿宋" w:eastAsia="仿宋"/>
          <w:sz w:val="32"/>
          <w:szCs w:val="32"/>
        </w:rPr>
      </w:pPr>
      <w:r>
        <w:rPr>
          <w:rFonts w:hint="eastAsia" w:ascii="仿宋" w:hAnsi="仿宋" w:eastAsia="仿宋"/>
          <w:sz w:val="32"/>
          <w:szCs w:val="32"/>
        </w:rPr>
        <w:t>指本级财政当年拨付的资金。</w:t>
      </w:r>
    </w:p>
    <w:p>
      <w:pPr>
        <w:ind w:firstLine="640"/>
        <w:rPr>
          <w:rFonts w:ascii="黑体" w:hAnsi="黑体" w:eastAsia="黑体"/>
          <w:sz w:val="32"/>
          <w:szCs w:val="32"/>
        </w:rPr>
      </w:pPr>
      <w:r>
        <w:rPr>
          <w:rFonts w:hint="eastAsia" w:ascii="黑体" w:hAnsi="黑体" w:eastAsia="黑体"/>
          <w:sz w:val="32"/>
          <w:szCs w:val="32"/>
        </w:rPr>
        <w:t>二、事业收入</w:t>
      </w:r>
    </w:p>
    <w:p>
      <w:pPr>
        <w:ind w:firstLine="640" w:firstLineChars="200"/>
        <w:rPr>
          <w:rFonts w:ascii="仿宋" w:hAnsi="仿宋" w:eastAsia="仿宋"/>
          <w:sz w:val="32"/>
          <w:szCs w:val="32"/>
        </w:rPr>
      </w:pPr>
      <w:r>
        <w:rPr>
          <w:rFonts w:hint="eastAsia" w:ascii="仿宋" w:hAnsi="仿宋" w:eastAsia="仿宋"/>
          <w:sz w:val="32"/>
          <w:szCs w:val="32"/>
        </w:rPr>
        <w:t>指事业单位开展专务活动及辅助所取得的收入。</w:t>
      </w:r>
    </w:p>
    <w:p>
      <w:pPr>
        <w:ind w:firstLine="640"/>
        <w:rPr>
          <w:rFonts w:ascii="黑体" w:hAnsi="黑体" w:eastAsia="黑体"/>
          <w:sz w:val="32"/>
          <w:szCs w:val="32"/>
        </w:rPr>
      </w:pPr>
      <w:r>
        <w:rPr>
          <w:rFonts w:hint="eastAsia" w:ascii="黑体" w:hAnsi="黑体" w:eastAsia="黑体"/>
          <w:sz w:val="32"/>
          <w:szCs w:val="32"/>
        </w:rPr>
        <w:t>三、其他收入</w:t>
      </w:r>
    </w:p>
    <w:p>
      <w:pPr>
        <w:ind w:firstLine="640" w:firstLineChars="200"/>
        <w:rPr>
          <w:rFonts w:ascii="仿宋" w:hAnsi="仿宋" w:eastAsia="仿宋"/>
          <w:sz w:val="32"/>
          <w:szCs w:val="32"/>
        </w:rPr>
      </w:pPr>
      <w:r>
        <w:rPr>
          <w:rFonts w:hint="eastAsia" w:ascii="仿宋" w:hAnsi="仿宋" w:eastAsia="仿宋"/>
          <w:sz w:val="32"/>
          <w:szCs w:val="32"/>
        </w:rPr>
        <w:t>指除“财政拨款”、“事业收入”、“事业单位经营收入”、“附属单位上缴收入”等以外的收入。</w:t>
      </w:r>
    </w:p>
    <w:p>
      <w:pPr>
        <w:ind w:firstLine="640"/>
        <w:rPr>
          <w:rFonts w:ascii="黑体" w:hAnsi="黑体" w:eastAsia="黑体"/>
          <w:sz w:val="32"/>
          <w:szCs w:val="32"/>
        </w:rPr>
      </w:pPr>
      <w:r>
        <w:rPr>
          <w:rFonts w:hint="eastAsia" w:ascii="黑体" w:hAnsi="黑体" w:eastAsia="黑体"/>
          <w:sz w:val="32"/>
          <w:szCs w:val="32"/>
        </w:rPr>
        <w:t>四、基本支出</w:t>
      </w:r>
    </w:p>
    <w:p>
      <w:pPr>
        <w:ind w:firstLine="640" w:firstLineChars="200"/>
        <w:rPr>
          <w:rFonts w:ascii="仿宋" w:hAnsi="仿宋" w:eastAsia="仿宋"/>
          <w:sz w:val="32"/>
          <w:szCs w:val="32"/>
        </w:rPr>
      </w:pPr>
      <w:r>
        <w:rPr>
          <w:rFonts w:hint="eastAsia" w:ascii="仿宋" w:hAnsi="仿宋" w:eastAsia="仿宋"/>
          <w:sz w:val="32"/>
          <w:szCs w:val="32"/>
        </w:rPr>
        <w:t>指为保障机构正常运转、完成日常工作任务所必需的开支，其内容包括人员经费和日常公用经费两部分。</w:t>
      </w:r>
    </w:p>
    <w:p>
      <w:pPr>
        <w:ind w:firstLine="640"/>
        <w:rPr>
          <w:rFonts w:ascii="黑体" w:hAnsi="黑体" w:eastAsia="黑体"/>
          <w:sz w:val="32"/>
          <w:szCs w:val="32"/>
        </w:rPr>
      </w:pPr>
      <w:r>
        <w:rPr>
          <w:rFonts w:hint="eastAsia" w:ascii="黑体" w:hAnsi="黑体" w:eastAsia="黑体"/>
          <w:sz w:val="32"/>
          <w:szCs w:val="32"/>
        </w:rPr>
        <w:t>五、项目支出</w:t>
      </w:r>
    </w:p>
    <w:p>
      <w:pPr>
        <w:ind w:firstLine="640" w:firstLineChars="200"/>
        <w:rPr>
          <w:rFonts w:ascii="仿宋" w:hAnsi="仿宋" w:eastAsia="仿宋"/>
          <w:sz w:val="32"/>
          <w:szCs w:val="32"/>
        </w:rPr>
      </w:pPr>
      <w:r>
        <w:rPr>
          <w:rFonts w:hint="eastAsia" w:ascii="仿宋" w:hAnsi="仿宋" w:eastAsia="仿宋"/>
          <w:sz w:val="32"/>
          <w:szCs w:val="32"/>
        </w:rPr>
        <w:t>指在基本支出之外，为完成特定的行政工作任务或事业发展目标所发生的支出。</w:t>
      </w:r>
    </w:p>
    <w:p>
      <w:pPr>
        <w:ind w:firstLine="640"/>
        <w:rPr>
          <w:rFonts w:ascii="黑体" w:hAnsi="黑体" w:eastAsia="黑体"/>
          <w:sz w:val="32"/>
          <w:szCs w:val="32"/>
        </w:rPr>
      </w:pPr>
      <w:r>
        <w:rPr>
          <w:rFonts w:hint="eastAsia" w:ascii="黑体" w:hAnsi="黑体" w:eastAsia="黑体"/>
          <w:sz w:val="32"/>
          <w:szCs w:val="32"/>
        </w:rPr>
        <w:t>六、机关运行经费</w:t>
      </w:r>
    </w:p>
    <w:p>
      <w:pPr>
        <w:ind w:firstLine="640" w:firstLineChars="200"/>
        <w:rPr>
          <w:rFonts w:ascii="仿宋" w:hAnsi="仿宋" w:eastAsia="仿宋"/>
          <w:sz w:val="32"/>
          <w:szCs w:val="32"/>
        </w:rPr>
      </w:pPr>
      <w:r>
        <w:rPr>
          <w:rFonts w:hint="eastAsia" w:ascii="仿宋" w:hAnsi="仿宋" w:eastAsia="仿宋"/>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ind w:firstLine="640"/>
        <w:rPr>
          <w:rFonts w:ascii="黑体" w:hAnsi="黑体" w:eastAsia="黑体"/>
          <w:sz w:val="32"/>
          <w:szCs w:val="32"/>
        </w:rPr>
      </w:pPr>
      <w:r>
        <w:rPr>
          <w:rFonts w:hint="eastAsia" w:ascii="黑体" w:hAnsi="黑体" w:eastAsia="黑体"/>
          <w:sz w:val="32"/>
          <w:szCs w:val="32"/>
        </w:rPr>
        <w:t>七、“三公”经费</w:t>
      </w:r>
    </w:p>
    <w:p>
      <w:pPr>
        <w:ind w:firstLine="640" w:firstLineChars="200"/>
        <w:rPr>
          <w:rFonts w:ascii="仿宋" w:hAnsi="仿宋" w:eastAsia="仿宋"/>
          <w:sz w:val="32"/>
          <w:szCs w:val="32"/>
        </w:rPr>
      </w:pPr>
      <w:r>
        <w:rPr>
          <w:rFonts w:hint="eastAsia" w:ascii="仿宋" w:hAnsi="仿宋" w:eastAsia="仿宋"/>
          <w:sz w:val="32"/>
          <w:szCs w:val="32"/>
        </w:rPr>
        <w:t>指纳入本级财政预决算管理，本级部门使用财政拨款安排的因公出国（境）费、公务用车购置运行费和公务接待费。其中，因公出国（境）费指单位公务出国（境）的住宿费、旅费、伙食补助费、杂费、培训费等支出；公务用车购置运行费指单位公务用车购置费及租用费、燃料费、维修费、过路过桥费、保险费、安全奖励费用等支出；公务接待费指单位按规定开支的各类接待支出。</w:t>
      </w:r>
    </w:p>
    <w:p>
      <w:pPr>
        <w:ind w:firstLine="640" w:firstLineChars="200"/>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21D"/>
    <w:rsid w:val="00002196"/>
    <w:rsid w:val="00004A5A"/>
    <w:rsid w:val="000132E8"/>
    <w:rsid w:val="00016BED"/>
    <w:rsid w:val="0002164D"/>
    <w:rsid w:val="00027F80"/>
    <w:rsid w:val="000430FF"/>
    <w:rsid w:val="00061554"/>
    <w:rsid w:val="00072768"/>
    <w:rsid w:val="00073460"/>
    <w:rsid w:val="00073A1C"/>
    <w:rsid w:val="00083F78"/>
    <w:rsid w:val="00084BC7"/>
    <w:rsid w:val="000A120E"/>
    <w:rsid w:val="000A2622"/>
    <w:rsid w:val="000A61C6"/>
    <w:rsid w:val="000B0330"/>
    <w:rsid w:val="000D10F2"/>
    <w:rsid w:val="000E11AD"/>
    <w:rsid w:val="000E2600"/>
    <w:rsid w:val="000F620F"/>
    <w:rsid w:val="0011394B"/>
    <w:rsid w:val="00116512"/>
    <w:rsid w:val="00117E91"/>
    <w:rsid w:val="0012037F"/>
    <w:rsid w:val="00133B0C"/>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4A75"/>
    <w:rsid w:val="002310DD"/>
    <w:rsid w:val="0024686B"/>
    <w:rsid w:val="00253EBE"/>
    <w:rsid w:val="00266CFB"/>
    <w:rsid w:val="00272F81"/>
    <w:rsid w:val="00280017"/>
    <w:rsid w:val="00290690"/>
    <w:rsid w:val="0029175A"/>
    <w:rsid w:val="0029197A"/>
    <w:rsid w:val="002B0CFE"/>
    <w:rsid w:val="002B1D96"/>
    <w:rsid w:val="002B3532"/>
    <w:rsid w:val="002D0E65"/>
    <w:rsid w:val="00300F5D"/>
    <w:rsid w:val="0031611D"/>
    <w:rsid w:val="00325FB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649B6"/>
    <w:rsid w:val="0047221A"/>
    <w:rsid w:val="00475C58"/>
    <w:rsid w:val="00476651"/>
    <w:rsid w:val="00480E6B"/>
    <w:rsid w:val="00481880"/>
    <w:rsid w:val="00481BF7"/>
    <w:rsid w:val="00484FF3"/>
    <w:rsid w:val="004917F6"/>
    <w:rsid w:val="00497FA5"/>
    <w:rsid w:val="004A5FC7"/>
    <w:rsid w:val="004B62CD"/>
    <w:rsid w:val="004C6B67"/>
    <w:rsid w:val="004D11E2"/>
    <w:rsid w:val="004D20D7"/>
    <w:rsid w:val="004D73C3"/>
    <w:rsid w:val="004E2EF8"/>
    <w:rsid w:val="004F3F49"/>
    <w:rsid w:val="0051575E"/>
    <w:rsid w:val="0052101E"/>
    <w:rsid w:val="005223E8"/>
    <w:rsid w:val="0052707F"/>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6430F"/>
    <w:rsid w:val="0066771A"/>
    <w:rsid w:val="00684EBF"/>
    <w:rsid w:val="00697DBA"/>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A1AC1"/>
    <w:rsid w:val="007A2989"/>
    <w:rsid w:val="007A5110"/>
    <w:rsid w:val="007A7440"/>
    <w:rsid w:val="007C199D"/>
    <w:rsid w:val="007C2779"/>
    <w:rsid w:val="007D24C5"/>
    <w:rsid w:val="007D3D59"/>
    <w:rsid w:val="007D4319"/>
    <w:rsid w:val="007D611A"/>
    <w:rsid w:val="007E0112"/>
    <w:rsid w:val="007E704C"/>
    <w:rsid w:val="007E7C54"/>
    <w:rsid w:val="007F3130"/>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6505"/>
    <w:rsid w:val="008C7E32"/>
    <w:rsid w:val="008D7A88"/>
    <w:rsid w:val="008F55A5"/>
    <w:rsid w:val="00914F43"/>
    <w:rsid w:val="009222A2"/>
    <w:rsid w:val="0092547C"/>
    <w:rsid w:val="0093502A"/>
    <w:rsid w:val="009426BE"/>
    <w:rsid w:val="00944D35"/>
    <w:rsid w:val="00950804"/>
    <w:rsid w:val="00954459"/>
    <w:rsid w:val="00960055"/>
    <w:rsid w:val="00971B68"/>
    <w:rsid w:val="00972F44"/>
    <w:rsid w:val="009731A3"/>
    <w:rsid w:val="009814D8"/>
    <w:rsid w:val="009830CB"/>
    <w:rsid w:val="00983C15"/>
    <w:rsid w:val="00984AAA"/>
    <w:rsid w:val="00994FAB"/>
    <w:rsid w:val="00996862"/>
    <w:rsid w:val="009A2613"/>
    <w:rsid w:val="009D0889"/>
    <w:rsid w:val="009E5D9B"/>
    <w:rsid w:val="00A01F6A"/>
    <w:rsid w:val="00A221C0"/>
    <w:rsid w:val="00A35377"/>
    <w:rsid w:val="00A37678"/>
    <w:rsid w:val="00A40FF9"/>
    <w:rsid w:val="00A425F2"/>
    <w:rsid w:val="00A53246"/>
    <w:rsid w:val="00A718EC"/>
    <w:rsid w:val="00A71EFF"/>
    <w:rsid w:val="00A73C86"/>
    <w:rsid w:val="00A76FD9"/>
    <w:rsid w:val="00A910BD"/>
    <w:rsid w:val="00AA5FE0"/>
    <w:rsid w:val="00AB0E48"/>
    <w:rsid w:val="00AB37CE"/>
    <w:rsid w:val="00AB6E5A"/>
    <w:rsid w:val="00AC27D5"/>
    <w:rsid w:val="00AF0FB9"/>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E5B"/>
    <w:rsid w:val="00B927E7"/>
    <w:rsid w:val="00BA1B1A"/>
    <w:rsid w:val="00BA36C6"/>
    <w:rsid w:val="00BA5198"/>
    <w:rsid w:val="00BC207F"/>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6695"/>
    <w:rsid w:val="00C81C8A"/>
    <w:rsid w:val="00C82D88"/>
    <w:rsid w:val="00C929BF"/>
    <w:rsid w:val="00C95075"/>
    <w:rsid w:val="00CA5A8E"/>
    <w:rsid w:val="00CA790B"/>
    <w:rsid w:val="00CB3F5A"/>
    <w:rsid w:val="00CB522C"/>
    <w:rsid w:val="00CC26EC"/>
    <w:rsid w:val="00CD1BAC"/>
    <w:rsid w:val="00CF3A78"/>
    <w:rsid w:val="00CF56A3"/>
    <w:rsid w:val="00D027AD"/>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070E"/>
    <w:rsid w:val="00D92232"/>
    <w:rsid w:val="00DA34FD"/>
    <w:rsid w:val="00DC17BB"/>
    <w:rsid w:val="00DC5066"/>
    <w:rsid w:val="00DE0A3A"/>
    <w:rsid w:val="00DF1D80"/>
    <w:rsid w:val="00DF6259"/>
    <w:rsid w:val="00DF656C"/>
    <w:rsid w:val="00DF7A40"/>
    <w:rsid w:val="00E07DF5"/>
    <w:rsid w:val="00E25D79"/>
    <w:rsid w:val="00E26C3C"/>
    <w:rsid w:val="00E34EC7"/>
    <w:rsid w:val="00E40BD7"/>
    <w:rsid w:val="00E41829"/>
    <w:rsid w:val="00E54A09"/>
    <w:rsid w:val="00E628C1"/>
    <w:rsid w:val="00E772E4"/>
    <w:rsid w:val="00E8327B"/>
    <w:rsid w:val="00E83F8F"/>
    <w:rsid w:val="00E9136C"/>
    <w:rsid w:val="00E92BEC"/>
    <w:rsid w:val="00E933D0"/>
    <w:rsid w:val="00E93DA8"/>
    <w:rsid w:val="00E96C0E"/>
    <w:rsid w:val="00EB2414"/>
    <w:rsid w:val="00EB4212"/>
    <w:rsid w:val="00EC11F0"/>
    <w:rsid w:val="00EC3452"/>
    <w:rsid w:val="00ED6165"/>
    <w:rsid w:val="00ED7573"/>
    <w:rsid w:val="00EE2DC1"/>
    <w:rsid w:val="00EE41CF"/>
    <w:rsid w:val="00EE4D4B"/>
    <w:rsid w:val="00F027A0"/>
    <w:rsid w:val="00F11492"/>
    <w:rsid w:val="00F17169"/>
    <w:rsid w:val="00F204DA"/>
    <w:rsid w:val="00F206CC"/>
    <w:rsid w:val="00F233A7"/>
    <w:rsid w:val="00F24FA1"/>
    <w:rsid w:val="00F33195"/>
    <w:rsid w:val="00F41162"/>
    <w:rsid w:val="00F4521D"/>
    <w:rsid w:val="00F87E41"/>
    <w:rsid w:val="00F93ACE"/>
    <w:rsid w:val="00F9584D"/>
    <w:rsid w:val="00F97FD4"/>
    <w:rsid w:val="00FB6183"/>
    <w:rsid w:val="00FC6401"/>
    <w:rsid w:val="00FD7E30"/>
    <w:rsid w:val="00FE715C"/>
    <w:rsid w:val="00FF2323"/>
    <w:rsid w:val="00FF3854"/>
    <w:rsid w:val="19CC2D3B"/>
    <w:rsid w:val="24104178"/>
    <w:rsid w:val="433D17D2"/>
    <w:rsid w:val="62C521F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kern w:val="0"/>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字符"/>
    <w:link w:val="3"/>
    <w:qFormat/>
    <w:locked/>
    <w:uiPriority w:val="99"/>
    <w:rPr>
      <w:rFonts w:cs="Times New Roman"/>
      <w:sz w:val="18"/>
    </w:rPr>
  </w:style>
  <w:style w:type="character" w:customStyle="1" w:styleId="8">
    <w:name w:val="页脚 字符"/>
    <w:link w:val="2"/>
    <w:qFormat/>
    <w:locked/>
    <w:uiPriority w:val="99"/>
    <w:rPr>
      <w:rFonts w:cs="Times New Roman"/>
      <w:sz w:val="18"/>
    </w:rPr>
  </w:style>
  <w:style w:type="paragraph" w:customStyle="1" w:styleId="9">
    <w:name w:val="Default"/>
    <w:qFormat/>
    <w:uiPriority w:val="99"/>
    <w:pPr>
      <w:widowControl w:val="0"/>
      <w:autoSpaceDE w:val="0"/>
      <w:autoSpaceDN w:val="0"/>
      <w:adjustRightInd w:val="0"/>
    </w:pPr>
    <w:rPr>
      <w:rFonts w:ascii="黑体" w:hAnsi="黑体" w:eastAsia="宋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7F2F97-46C1-4E99-A879-B346C88DF5E7}">
  <ds:schemaRefs/>
</ds:datastoreItem>
</file>

<file path=docProps/app.xml><?xml version="1.0" encoding="utf-8"?>
<Properties xmlns="http://schemas.openxmlformats.org/officeDocument/2006/extended-properties" xmlns:vt="http://schemas.openxmlformats.org/officeDocument/2006/docPropsVTypes">
  <Template>Normal</Template>
  <Pages>8</Pages>
  <Words>351</Words>
  <Characters>2002</Characters>
  <Lines>16</Lines>
  <Paragraphs>4</Paragraphs>
  <TotalTime>36</TotalTime>
  <ScaleCrop>false</ScaleCrop>
  <LinksUpToDate>false</LinksUpToDate>
  <CharactersWithSpaces>2349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2017-10-31T03:18:00Z</dcterms:created>
  <dc:creator>lenovo</dc:creator>
  <cp:lastModifiedBy>~~~^_^</cp:lastModifiedBy>
  <dcterms:modified xsi:type="dcterms:W3CDTF">2020-12-14T07:37:50Z</dcterms:modified>
  <dc:title>濮阳市华龙区XXX局</dc:title>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