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w w:val="85"/>
          <w:sz w:val="56"/>
        </w:rPr>
      </w:pPr>
      <w:r>
        <w:rPr>
          <w:rFonts w:hint="eastAsia" w:ascii="方正小标宋_GBK" w:eastAsia="方正小标宋_GBK"/>
          <w:w w:val="85"/>
          <w:sz w:val="56"/>
        </w:rPr>
        <w:t>濮阳市华龙区</w:t>
      </w:r>
      <w:r>
        <w:rPr>
          <w:rFonts w:hint="eastAsia" w:ascii="方正小标宋_GBK" w:eastAsia="方正小标宋_GBK"/>
          <w:color w:val="000000"/>
          <w:w w:val="85"/>
          <w:sz w:val="56"/>
        </w:rPr>
        <w:t>支援重点建设办公室</w:t>
      </w:r>
    </w:p>
    <w:p>
      <w:pPr>
        <w:jc w:val="center"/>
        <w:rPr>
          <w:rFonts w:ascii="方正小标宋_GBK" w:eastAsia="方正小标宋_GBK"/>
          <w:spacing w:val="-20"/>
          <w:sz w:val="44"/>
        </w:rPr>
      </w:pPr>
      <w:r>
        <w:rPr>
          <w:rFonts w:ascii="方正小标宋_GBK" w:eastAsia="方正小标宋_GBK"/>
          <w:w w:val="85"/>
          <w:sz w:val="56"/>
        </w:rPr>
        <w:t>2020</w:t>
      </w:r>
      <w:r>
        <w:rPr>
          <w:rFonts w:hint="eastAsia" w:ascii="方正小标宋_GBK" w:eastAsia="方正小标宋_GBK"/>
          <w:w w:val="85"/>
          <w:sz w:val="56"/>
        </w:rPr>
        <w:t>年部门预算公开说明</w:t>
      </w: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ind w:firstLine="3254" w:firstLineChars="900"/>
        <w:rPr>
          <w:rFonts w:ascii="方正小标宋_GBK" w:eastAsia="方正小标宋_GBK"/>
          <w:sz w:val="40"/>
        </w:rPr>
      </w:pP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年</w:t>
      </w:r>
      <w:r>
        <w:rPr>
          <w:rFonts w:hint="eastAsia" w:ascii="宋体" w:hAnsi="宋体" w:cs="宋体"/>
          <w:b/>
          <w:w w:val="90"/>
          <w:sz w:val="40"/>
        </w:rPr>
        <w:t>六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月</w:t>
      </w:r>
    </w:p>
    <w:p>
      <w:pPr>
        <w:jc w:val="center"/>
        <w:rPr>
          <w:rFonts w:ascii="方正小标宋_GBK" w:eastAsia="方正小标宋_GBK"/>
          <w:sz w:val="32"/>
        </w:rPr>
      </w:pPr>
      <w:r>
        <w:rPr>
          <w:rFonts w:ascii="方正小标宋_GBK" w:eastAsia="方正小标宋_GBK"/>
          <w:sz w:val="32"/>
        </w:rPr>
        <w:br w:type="page"/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44"/>
          <w:szCs w:val="32"/>
        </w:rPr>
      </w:pPr>
      <w:r>
        <w:rPr>
          <w:rFonts w:hint="eastAsia" w:ascii="黑体" w:hAnsi="黑体" w:eastAsia="黑体"/>
          <w:color w:val="000000"/>
          <w:sz w:val="44"/>
          <w:szCs w:val="32"/>
        </w:rPr>
        <w:t>目</w:t>
      </w:r>
      <w:r>
        <w:rPr>
          <w:rFonts w:ascii="黑体" w:hAnsi="黑体" w:eastAsia="黑体"/>
          <w:color w:val="000000"/>
          <w:sz w:val="44"/>
          <w:szCs w:val="32"/>
        </w:rPr>
        <w:t> </w:t>
      </w:r>
      <w:r>
        <w:rPr>
          <w:rFonts w:hint="eastAsia" w:ascii="黑体" w:hAnsi="黑体" w:eastAsia="黑体"/>
          <w:color w:val="000000"/>
          <w:sz w:val="44"/>
          <w:szCs w:val="32"/>
        </w:rPr>
        <w:t>录</w:t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</w:t>
      </w:r>
      <w:r>
        <w:rPr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/>
          <w:color w:val="000000"/>
          <w:sz w:val="32"/>
          <w:szCs w:val="32"/>
        </w:rPr>
        <w:t>部门概况</w:t>
      </w:r>
      <w:r>
        <w:rPr>
          <w:color w:val="000000"/>
          <w:sz w:val="32"/>
          <w:szCs w:val="32"/>
        </w:rPr>
        <w:t> 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一、部门主要职责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二、机构设置情况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</w:t>
      </w:r>
      <w:r>
        <w:rPr>
          <w:rFonts w:ascii="黑体" w:hAnsi="黑体" w:eastAsia="黑体"/>
          <w:color w:val="000000"/>
          <w:sz w:val="32"/>
          <w:szCs w:val="32"/>
        </w:rPr>
        <w:t xml:space="preserve"> 2020</w:t>
      </w:r>
      <w:r>
        <w:rPr>
          <w:rFonts w:hint="eastAsia" w:ascii="黑体" w:hAnsi="黑体" w:eastAsia="黑体"/>
          <w:color w:val="000000"/>
          <w:sz w:val="32"/>
          <w:szCs w:val="32"/>
        </w:rPr>
        <w:t>年部门预算情况说明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第三部分</w:t>
      </w:r>
      <w:r>
        <w:rPr>
          <w:rFonts w:ascii="黑体" w:hAnsi="黑体" w:eastAsia="黑体"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/>
          <w:color w:val="000000"/>
          <w:sz w:val="32"/>
          <w:szCs w:val="32"/>
        </w:rPr>
        <w:t>名词解释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640" w:firstLineChars="20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附件：濮阳市华龙区支援重点建设办公室</w:t>
      </w:r>
      <w:r>
        <w:rPr>
          <w:rFonts w:ascii="黑体" w:hAnsi="黑体" w:eastAsia="黑体"/>
          <w:color w:val="000000"/>
          <w:sz w:val="32"/>
          <w:szCs w:val="32"/>
        </w:rPr>
        <w:t>2020</w:t>
      </w:r>
      <w:r>
        <w:rPr>
          <w:rFonts w:hint="eastAsia" w:ascii="黑体" w:hAnsi="黑体" w:eastAsia="黑体"/>
          <w:color w:val="000000"/>
          <w:sz w:val="32"/>
          <w:szCs w:val="32"/>
        </w:rPr>
        <w:t>年部门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1600" w:firstLineChars="50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预算表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一、部门收支总表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二、部门收入总表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三、部门支出总表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四、财政拨款收支总表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五、一般公共预算支出表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六、一般公共预算基本支出表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七、一般公共预算“三公”经费支出表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八、政府性基金预算支出表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color w:val="000000"/>
          <w:sz w:val="22"/>
          <w:szCs w:val="21"/>
        </w:rPr>
      </w:pPr>
      <w:r>
        <w:rPr>
          <w:rFonts w:ascii="黑体" w:hAnsi="黑体" w:eastAsia="黑体"/>
          <w:sz w:val="32"/>
          <w:szCs w:val="32"/>
        </w:rPr>
        <w:br w:type="page"/>
      </w:r>
      <w:r>
        <w:rPr>
          <w:rFonts w:hint="eastAsia" w:ascii="黑体" w:hAnsi="黑体" w:eastAsia="黑体"/>
          <w:color w:val="000000"/>
          <w:sz w:val="36"/>
          <w:szCs w:val="32"/>
        </w:rPr>
        <w:t>第一部分</w:t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部门概况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 </w:t>
      </w:r>
    </w:p>
    <w:p>
      <w:pPr>
        <w:numPr>
          <w:ilvl w:val="0"/>
          <w:numId w:val="1"/>
        </w:num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部门主要职责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濮阳市华龙区支援重点建设办公室是以服务油田和市、区重点工程建设，促进我区工业发展为己任</w:t>
      </w:r>
      <w:r>
        <w:rPr>
          <w:rFonts w:ascii="仿宋" w:hAnsi="仿宋" w:eastAsia="仿宋" w:cs="仿宋_GB2312"/>
          <w:sz w:val="32"/>
          <w:szCs w:val="32"/>
        </w:rPr>
        <w:t>;</w:t>
      </w:r>
      <w:r>
        <w:rPr>
          <w:rFonts w:hint="eastAsia" w:ascii="仿宋" w:hAnsi="仿宋" w:eastAsia="仿宋" w:cs="仿宋_GB2312"/>
          <w:sz w:val="32"/>
          <w:szCs w:val="32"/>
        </w:rPr>
        <w:t>进一步强化服务油田的“三种意识”，努力为油田创造“三个好环境”。充分发挥职能作用，积极做好支油支重工作，不断加强油地、企地协作关系，妥善解决工农矛盾纠纷，确保重点工程建设工作顺利进行的机构</w:t>
      </w:r>
      <w:r>
        <w:rPr>
          <w:rFonts w:hint="eastAsia" w:ascii="仿宋" w:hAnsi="仿宋" w:eastAsia="仿宋"/>
          <w:sz w:val="32"/>
          <w:szCs w:val="32"/>
        </w:rPr>
        <w:t>，主要职责有：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为加速油田的生产建设和勘探开发做好服务。</w:t>
      </w:r>
      <w:r>
        <w:rPr>
          <w:rFonts w:ascii="仿宋" w:hAnsi="仿宋" w:eastAsia="仿宋"/>
          <w:sz w:val="32"/>
          <w:szCs w:val="32"/>
        </w:rPr>
        <w:t xml:space="preserve">      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2.</w:t>
      </w:r>
      <w:r>
        <w:rPr>
          <w:rFonts w:hint="eastAsia" w:ascii="仿宋" w:hAnsi="仿宋" w:eastAsia="仿宋"/>
          <w:sz w:val="32"/>
          <w:szCs w:val="32"/>
        </w:rPr>
        <w:t>支援市政建设、支援大化、铁路等国家重点建设。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/>
          <w:sz w:val="32"/>
          <w:szCs w:val="32"/>
        </w:rPr>
        <w:t>做好辖区内油气管道的督导检查，维护油区的社会稳定。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4.</w:t>
      </w:r>
      <w:r>
        <w:rPr>
          <w:rFonts w:hint="eastAsia" w:ascii="仿宋" w:hAnsi="仿宋" w:eastAsia="仿宋"/>
          <w:sz w:val="32"/>
          <w:szCs w:val="32"/>
        </w:rPr>
        <w:t>按照有关政策、规定管理我区原油、天然气以及专供电资源。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5.</w:t>
      </w:r>
      <w:r>
        <w:rPr>
          <w:rFonts w:hint="eastAsia" w:ascii="仿宋" w:hAnsi="仿宋" w:eastAsia="仿宋"/>
          <w:sz w:val="32"/>
          <w:szCs w:val="32"/>
        </w:rPr>
        <w:t>承办区政府交办的其他事项。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二、机构设置情况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根据工作职责及实际工作需要，华龙区</w:t>
      </w:r>
      <w:r>
        <w:rPr>
          <w:rFonts w:hint="eastAsia" w:ascii="仿宋" w:hAnsi="仿宋" w:eastAsia="仿宋"/>
          <w:color w:val="000000"/>
          <w:sz w:val="32"/>
          <w:szCs w:val="32"/>
        </w:rPr>
        <w:t>支援重点建设办公室</w:t>
      </w:r>
      <w:r>
        <w:rPr>
          <w:rFonts w:hint="eastAsia" w:ascii="仿宋" w:hAnsi="仿宋" w:eastAsia="仿宋"/>
          <w:sz w:val="32"/>
          <w:szCs w:val="32"/>
        </w:rPr>
        <w:t>设有办公室、党务办、财务科、工农科、管道科、物业办</w:t>
      </w:r>
      <w:r>
        <w:rPr>
          <w:rFonts w:ascii="仿宋" w:hAnsi="仿宋" w:eastAsia="仿宋"/>
          <w:sz w:val="32"/>
          <w:szCs w:val="32"/>
        </w:rPr>
        <w:t>6</w:t>
      </w:r>
      <w:r>
        <w:rPr>
          <w:rFonts w:hint="eastAsia" w:ascii="仿宋" w:hAnsi="仿宋" w:eastAsia="仿宋"/>
          <w:sz w:val="32"/>
          <w:szCs w:val="32"/>
        </w:rPr>
        <w:t>个内设机构，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</w:rPr>
        <w:t>无所属二级预算单位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，本部门经费实行全额预算管理。本单位无独立核算的下属预算单位，部门本级预算即汇总预算。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第二部分</w:t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hAnsi="黑体" w:eastAsia="黑体"/>
          <w:color w:val="000000"/>
          <w:sz w:val="36"/>
          <w:szCs w:val="32"/>
        </w:rPr>
        <w:t>2020</w:t>
      </w:r>
      <w:r>
        <w:rPr>
          <w:rFonts w:hint="eastAsia" w:ascii="黑体" w:hAnsi="黑体" w:eastAsia="黑体"/>
          <w:color w:val="000000"/>
          <w:sz w:val="36"/>
          <w:szCs w:val="32"/>
        </w:rPr>
        <w:t>年部门预算情况说明</w:t>
      </w:r>
    </w:p>
    <w:p>
      <w:pPr>
        <w:ind w:firstLine="640" w:firstLineChars="200"/>
        <w:rPr>
          <w:rFonts w:ascii="华文仿宋" w:hAnsi="华文仿宋" w:eastAsia="华文仿宋"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一、本级预算和所属单位预算在内的汇总预算总体情况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本单位无独立核算的下属预算单位，部门本级预算即汇总预算。</w:t>
      </w:r>
      <w:r>
        <w:rPr>
          <w:rFonts w:ascii="仿宋" w:hAnsi="仿宋" w:eastAsia="仿宋"/>
          <w:sz w:val="32"/>
          <w:szCs w:val="32"/>
        </w:rPr>
        <w:t>2020</w:t>
      </w:r>
      <w:r>
        <w:rPr>
          <w:rFonts w:hint="eastAsia" w:ascii="仿宋" w:hAnsi="仿宋" w:eastAsia="仿宋"/>
          <w:sz w:val="32"/>
          <w:szCs w:val="32"/>
        </w:rPr>
        <w:t>年本部门财政预算收入总计</w:t>
      </w:r>
      <w:r>
        <w:rPr>
          <w:rFonts w:ascii="仿宋" w:hAnsi="仿宋" w:eastAsia="仿宋"/>
          <w:sz w:val="32"/>
          <w:szCs w:val="32"/>
        </w:rPr>
        <w:t>163.73</w:t>
      </w:r>
      <w:r>
        <w:rPr>
          <w:rFonts w:hint="eastAsia" w:ascii="仿宋" w:hAnsi="仿宋" w:eastAsia="仿宋"/>
          <w:sz w:val="32"/>
          <w:szCs w:val="32"/>
        </w:rPr>
        <w:t>万元，支出总计</w:t>
      </w:r>
      <w:r>
        <w:rPr>
          <w:rFonts w:ascii="仿宋" w:hAnsi="仿宋" w:eastAsia="仿宋"/>
          <w:sz w:val="32"/>
          <w:szCs w:val="32"/>
        </w:rPr>
        <w:t>163.73</w:t>
      </w:r>
      <w:r>
        <w:rPr>
          <w:rFonts w:hint="eastAsia" w:ascii="仿宋" w:hAnsi="仿宋" w:eastAsia="仿宋"/>
          <w:sz w:val="32"/>
          <w:szCs w:val="32"/>
        </w:rPr>
        <w:t>万元。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2020</w:t>
      </w:r>
      <w:r>
        <w:rPr>
          <w:rFonts w:hint="eastAsia" w:ascii="仿宋" w:hAnsi="仿宋" w:eastAsia="仿宋"/>
          <w:sz w:val="32"/>
          <w:szCs w:val="32"/>
        </w:rPr>
        <w:t>年本部门财政预算收入总计</w:t>
      </w:r>
      <w:r>
        <w:rPr>
          <w:rFonts w:ascii="仿宋" w:hAnsi="仿宋" w:eastAsia="仿宋"/>
          <w:sz w:val="32"/>
          <w:szCs w:val="32"/>
        </w:rPr>
        <w:t>163.73</w:t>
      </w:r>
      <w:r>
        <w:rPr>
          <w:rFonts w:hint="eastAsia" w:ascii="仿宋" w:hAnsi="仿宋" w:eastAsia="仿宋"/>
          <w:sz w:val="32"/>
          <w:szCs w:val="32"/>
        </w:rPr>
        <w:t>万元，支出总计</w:t>
      </w:r>
      <w:r>
        <w:rPr>
          <w:rFonts w:ascii="仿宋" w:hAnsi="仿宋" w:eastAsia="仿宋"/>
          <w:sz w:val="32"/>
          <w:szCs w:val="32"/>
        </w:rPr>
        <w:t>163.73</w:t>
      </w:r>
      <w:r>
        <w:rPr>
          <w:rFonts w:hint="eastAsia" w:ascii="仿宋" w:hAnsi="仿宋" w:eastAsia="仿宋"/>
          <w:sz w:val="32"/>
          <w:szCs w:val="32"/>
        </w:rPr>
        <w:t>万元。其中：基本支出</w:t>
      </w:r>
      <w:r>
        <w:rPr>
          <w:rFonts w:ascii="仿宋" w:hAnsi="仿宋" w:eastAsia="仿宋"/>
          <w:sz w:val="32"/>
          <w:szCs w:val="32"/>
        </w:rPr>
        <w:t>151.73</w:t>
      </w:r>
      <w:r>
        <w:rPr>
          <w:rFonts w:hint="eastAsia" w:ascii="仿宋" w:hAnsi="仿宋" w:eastAsia="仿宋"/>
          <w:sz w:val="32"/>
          <w:szCs w:val="32"/>
        </w:rPr>
        <w:t>万元，占比</w:t>
      </w:r>
      <w:r>
        <w:rPr>
          <w:rFonts w:ascii="仿宋" w:hAnsi="仿宋" w:eastAsia="仿宋"/>
          <w:sz w:val="32"/>
          <w:szCs w:val="32"/>
        </w:rPr>
        <w:t>92.67%</w:t>
      </w:r>
      <w:r>
        <w:rPr>
          <w:rFonts w:hint="eastAsia" w:ascii="仿宋" w:hAnsi="仿宋" w:eastAsia="仿宋"/>
          <w:sz w:val="32"/>
          <w:szCs w:val="32"/>
        </w:rPr>
        <w:t>，项目支出</w:t>
      </w:r>
      <w:r>
        <w:rPr>
          <w:rFonts w:ascii="仿宋" w:hAnsi="仿宋" w:eastAsia="仿宋"/>
          <w:sz w:val="32"/>
          <w:szCs w:val="32"/>
        </w:rPr>
        <w:t>12</w:t>
      </w:r>
      <w:r>
        <w:rPr>
          <w:rFonts w:hint="eastAsia" w:ascii="仿宋" w:hAnsi="仿宋" w:eastAsia="仿宋"/>
          <w:sz w:val="32"/>
          <w:szCs w:val="32"/>
        </w:rPr>
        <w:t>万元，占比</w:t>
      </w:r>
      <w:r>
        <w:rPr>
          <w:rFonts w:ascii="仿宋" w:hAnsi="仿宋" w:eastAsia="仿宋"/>
          <w:sz w:val="32"/>
          <w:szCs w:val="32"/>
        </w:rPr>
        <w:t>7.33%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2020</w:t>
      </w:r>
      <w:r>
        <w:rPr>
          <w:rFonts w:hint="eastAsia" w:ascii="仿宋" w:hAnsi="仿宋" w:eastAsia="仿宋"/>
          <w:sz w:val="32"/>
          <w:szCs w:val="32"/>
        </w:rPr>
        <w:t>年本部门财政预算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收入和支出均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较上年减少</w:t>
      </w:r>
      <w:r>
        <w:rPr>
          <w:rFonts w:ascii="仿宋" w:hAnsi="仿宋" w:eastAsia="仿宋"/>
          <w:sz w:val="32"/>
          <w:szCs w:val="32"/>
        </w:rPr>
        <w:t>17.64</w:t>
      </w:r>
      <w:r>
        <w:rPr>
          <w:rFonts w:hint="eastAsia" w:ascii="仿宋" w:hAnsi="仿宋" w:eastAsia="仿宋"/>
          <w:sz w:val="32"/>
          <w:szCs w:val="32"/>
        </w:rPr>
        <w:t>万元，减少</w:t>
      </w:r>
      <w:r>
        <w:rPr>
          <w:rFonts w:ascii="仿宋" w:hAnsi="仿宋" w:eastAsia="仿宋"/>
          <w:sz w:val="32"/>
          <w:szCs w:val="32"/>
        </w:rPr>
        <w:t>9.73%</w:t>
      </w:r>
      <w:r>
        <w:rPr>
          <w:rFonts w:hint="eastAsia" w:ascii="仿宋" w:hAnsi="仿宋" w:eastAsia="仿宋"/>
          <w:sz w:val="32"/>
          <w:szCs w:val="32"/>
        </w:rPr>
        <w:t>。主要原因是人员减少。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三、一般公共预算基本支出情况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2020</w:t>
      </w:r>
      <w:r>
        <w:rPr>
          <w:rFonts w:hint="eastAsia" w:ascii="仿宋" w:hAnsi="仿宋" w:eastAsia="仿宋"/>
          <w:sz w:val="32"/>
          <w:szCs w:val="32"/>
        </w:rPr>
        <w:t>年本部门一般公共预算基本支出</w:t>
      </w:r>
      <w:r>
        <w:rPr>
          <w:rFonts w:ascii="仿宋" w:hAnsi="仿宋" w:eastAsia="仿宋"/>
          <w:sz w:val="32"/>
          <w:szCs w:val="32"/>
        </w:rPr>
        <w:t>151.73</w:t>
      </w:r>
      <w:r>
        <w:rPr>
          <w:rFonts w:hint="eastAsia" w:ascii="仿宋" w:hAnsi="仿宋" w:eastAsia="仿宋"/>
          <w:sz w:val="32"/>
          <w:szCs w:val="32"/>
        </w:rPr>
        <w:t>万元，其中：人员经费</w:t>
      </w:r>
      <w:r>
        <w:rPr>
          <w:rFonts w:ascii="仿宋" w:hAnsi="仿宋" w:eastAsia="仿宋"/>
          <w:sz w:val="32"/>
          <w:szCs w:val="32"/>
        </w:rPr>
        <w:t>147.93</w:t>
      </w:r>
      <w:r>
        <w:rPr>
          <w:rFonts w:hint="eastAsia" w:ascii="仿宋" w:hAnsi="仿宋" w:eastAsia="仿宋"/>
          <w:sz w:val="32"/>
          <w:szCs w:val="32"/>
        </w:rPr>
        <w:t>万元，主要包括：基本工资、津贴补贴、绩效工资、机关事业单位基本养老保险缴费、医疗保险缴费、其他社会保障缴费、住房公积金、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退休费</w:t>
      </w:r>
      <w:r>
        <w:rPr>
          <w:rFonts w:hint="eastAsia" w:ascii="仿宋" w:hAnsi="仿宋" w:eastAsia="仿宋"/>
          <w:sz w:val="32"/>
          <w:szCs w:val="32"/>
        </w:rPr>
        <w:t>；公用经费</w:t>
      </w:r>
      <w:r>
        <w:rPr>
          <w:rFonts w:ascii="仿宋" w:hAnsi="仿宋" w:eastAsia="仿宋"/>
          <w:sz w:val="32"/>
          <w:szCs w:val="32"/>
        </w:rPr>
        <w:t>3.8</w:t>
      </w:r>
      <w:r>
        <w:rPr>
          <w:rFonts w:hint="eastAsia" w:ascii="仿宋" w:hAnsi="仿宋" w:eastAsia="仿宋"/>
          <w:sz w:val="32"/>
          <w:szCs w:val="32"/>
        </w:rPr>
        <w:t>万元，主要包括：办公费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四、机关运行经费安排情况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2020</w:t>
      </w:r>
      <w:r>
        <w:rPr>
          <w:rFonts w:hint="eastAsia" w:ascii="仿宋" w:hAnsi="仿宋" w:eastAsia="仿宋"/>
          <w:sz w:val="32"/>
          <w:szCs w:val="32"/>
        </w:rPr>
        <w:t>年本部门机关运行经费安排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万元，，比上年减少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万元，减少</w:t>
      </w:r>
      <w:r>
        <w:rPr>
          <w:rFonts w:ascii="仿宋" w:hAnsi="仿宋" w:eastAsia="仿宋"/>
          <w:sz w:val="32"/>
          <w:szCs w:val="32"/>
        </w:rPr>
        <w:t>100%</w:t>
      </w:r>
      <w:r>
        <w:rPr>
          <w:rFonts w:hint="eastAsia" w:ascii="仿宋" w:hAnsi="仿宋" w:eastAsia="仿宋"/>
          <w:sz w:val="32"/>
          <w:szCs w:val="32"/>
        </w:rPr>
        <w:t>，主要原因是由于本单位属于事业单位，不属于行政单位。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五、“三公”经费安排情况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2020</w:t>
      </w:r>
      <w:r>
        <w:rPr>
          <w:rFonts w:hint="eastAsia" w:ascii="仿宋" w:hAnsi="仿宋" w:eastAsia="仿宋"/>
          <w:sz w:val="32"/>
          <w:szCs w:val="32"/>
        </w:rPr>
        <w:t>年本部门“三公”经费预算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与</w:t>
      </w:r>
      <w:r>
        <w:rPr>
          <w:rFonts w:hint="eastAsia" w:ascii="仿宋" w:hAnsi="仿宋" w:eastAsia="仿宋"/>
          <w:sz w:val="32"/>
          <w:szCs w:val="32"/>
        </w:rPr>
        <w:t>上年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持平</w:t>
      </w:r>
      <w:r>
        <w:rPr>
          <w:rFonts w:hint="eastAsia" w:ascii="仿宋" w:hAnsi="仿宋" w:eastAsia="仿宋"/>
          <w:sz w:val="32"/>
          <w:szCs w:val="32"/>
        </w:rPr>
        <w:t>，主要原因是由于公车改革后，公车运行数量减少，运行维护成本降低，以及严格执行相关规定，厉行勤俭节约，压减“三公”经费。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因公出国（境）费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万元；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2.</w:t>
      </w:r>
      <w:r>
        <w:rPr>
          <w:rFonts w:hint="eastAsia" w:ascii="仿宋" w:hAnsi="仿宋" w:eastAsia="仿宋"/>
          <w:sz w:val="32"/>
          <w:szCs w:val="32"/>
        </w:rPr>
        <w:t>公务用车购置及运行费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万元，其中：公务用车购置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万元，公务用车运行费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/>
          <w:sz w:val="32"/>
          <w:szCs w:val="32"/>
        </w:rPr>
        <w:t>公务接待费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六、政府采购安排情况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2020</w:t>
      </w:r>
      <w:r>
        <w:rPr>
          <w:rFonts w:hint="eastAsia" w:ascii="仿宋" w:hAnsi="仿宋" w:eastAsia="仿宋"/>
          <w:sz w:val="32"/>
          <w:szCs w:val="32"/>
        </w:rPr>
        <w:t>年本部门无政府采购预算安排。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七、政府性基金预算安排情况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本部门无政府性基金预算收支安排，较上年无变动。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八、国有资产占用情况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截止</w:t>
      </w:r>
      <w:r>
        <w:rPr>
          <w:rFonts w:ascii="仿宋" w:hAnsi="仿宋" w:eastAsia="仿宋"/>
          <w:sz w:val="32"/>
          <w:szCs w:val="32"/>
        </w:rPr>
        <w:t>2019</w:t>
      </w:r>
      <w:r>
        <w:rPr>
          <w:rFonts w:hint="eastAsia" w:ascii="仿宋" w:hAnsi="仿宋" w:eastAsia="仿宋"/>
          <w:sz w:val="32"/>
          <w:szCs w:val="32"/>
        </w:rPr>
        <w:t>年末，本部门共有车辆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辆，其中：一般公务用车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辆、一般执法执勤用车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辆、特种专业技术用车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辆，其他用车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辆；单位价值</w:t>
      </w:r>
      <w:r>
        <w:rPr>
          <w:rFonts w:ascii="仿宋" w:hAnsi="仿宋" w:eastAsia="仿宋"/>
          <w:sz w:val="32"/>
          <w:szCs w:val="32"/>
        </w:rPr>
        <w:t>50</w:t>
      </w:r>
      <w:r>
        <w:rPr>
          <w:rFonts w:hint="eastAsia" w:ascii="仿宋" w:hAnsi="仿宋" w:eastAsia="仿宋"/>
          <w:sz w:val="32"/>
          <w:szCs w:val="32"/>
        </w:rPr>
        <w:t>万元以上通用设备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台（套），单位价值</w:t>
      </w:r>
      <w:r>
        <w:rPr>
          <w:rFonts w:ascii="仿宋" w:hAnsi="仿宋" w:eastAsia="仿宋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万元以上专用设备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台（套）。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九、预算绩效管理工作开展情况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按照《濮阳市华龙区财政局关于编制区级部门</w:t>
      </w:r>
      <w:r>
        <w:rPr>
          <w:rFonts w:ascii="仿宋" w:hAnsi="仿宋" w:eastAsia="仿宋"/>
          <w:sz w:val="32"/>
          <w:szCs w:val="32"/>
        </w:rPr>
        <w:t>2020-2022</w:t>
      </w:r>
      <w:r>
        <w:rPr>
          <w:rFonts w:hint="eastAsia" w:ascii="仿宋" w:hAnsi="仿宋" w:eastAsia="仿宋"/>
          <w:sz w:val="32"/>
          <w:szCs w:val="32"/>
        </w:rPr>
        <w:t>年收支规划和</w:t>
      </w:r>
      <w:r>
        <w:rPr>
          <w:rFonts w:ascii="仿宋" w:hAnsi="仿宋" w:eastAsia="仿宋"/>
          <w:sz w:val="32"/>
          <w:szCs w:val="32"/>
        </w:rPr>
        <w:t>2020</w:t>
      </w:r>
      <w:r>
        <w:rPr>
          <w:rFonts w:hint="eastAsia" w:ascii="仿宋" w:hAnsi="仿宋" w:eastAsia="仿宋"/>
          <w:sz w:val="32"/>
          <w:szCs w:val="32"/>
        </w:rPr>
        <w:t>年部门预算的通知》（华龙财〔</w:t>
      </w:r>
      <w:r>
        <w:rPr>
          <w:rFonts w:ascii="仿宋" w:hAnsi="仿宋" w:eastAsia="仿宋"/>
          <w:sz w:val="32"/>
          <w:szCs w:val="32"/>
        </w:rPr>
        <w:t>2019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ascii="仿宋" w:hAnsi="仿宋" w:eastAsia="仿宋"/>
          <w:sz w:val="32"/>
          <w:szCs w:val="32"/>
        </w:rPr>
        <w:t>108</w:t>
      </w:r>
      <w:r>
        <w:rPr>
          <w:rFonts w:hint="eastAsia" w:ascii="仿宋" w:hAnsi="仿宋" w:eastAsia="仿宋"/>
          <w:sz w:val="32"/>
          <w:szCs w:val="32"/>
        </w:rPr>
        <w:t>号）有关全面推进预算绩效管理方面的要求，本部门牢固树立“讲绩效、重绩效、用绩效”的绩效管理理念，年度预算申报时，针对政策及重点项目逐项设立并报送了预算绩效目标</w:t>
      </w:r>
      <w:r>
        <w:rPr>
          <w:rFonts w:hint="eastAsia" w:ascii="仿宋" w:hAnsi="仿宋" w:eastAsia="仿宋"/>
          <w:sz w:val="32"/>
          <w:szCs w:val="32"/>
          <w:lang w:eastAsia="zh-CN"/>
        </w:rPr>
        <w:t>。绩效目标设定涉及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  <w:lang w:eastAsia="zh-CN"/>
        </w:rPr>
        <w:t>个项目，1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  <w:lang w:eastAsia="zh-CN"/>
        </w:rPr>
        <w:t>万元，</w:t>
      </w:r>
      <w:r>
        <w:rPr>
          <w:rFonts w:hint="eastAsia" w:ascii="仿宋" w:hAnsi="仿宋" w:eastAsia="仿宋"/>
          <w:sz w:val="32"/>
          <w:szCs w:val="32"/>
        </w:rPr>
        <w:t>并将以此为基础开展后续预算绩效管理工作，努力建立健全以结果为导向的预算绩效管理工作机制。</w:t>
      </w:r>
    </w:p>
    <w:p>
      <w:pPr>
        <w:pStyle w:val="4"/>
        <w:topLinePunct/>
        <w:spacing w:before="0" w:beforeAutospacing="0" w:after="0" w:afterAutospacing="0" w:line="360" w:lineRule="auto"/>
        <w:jc w:val="both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第三部分</w:t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名词解释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一、财政拨款收入</w:t>
      </w:r>
    </w:p>
    <w:p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指本级财政当年拨付的资金。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二、事业收入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指事业单位开展专务活动及辅助所取得的收入。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三、其他收入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指除“财政拨款”、“事业收入”、“事业单位经营收入”、“附属单位上缴收入”等以外的收入。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四、基本支出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五、项目支出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六、机关运行经费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七、“三公”经费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纳入本级财政预决算管理，本级部门使用财政拨款安排的因公出国（境）费、公务用车购置运行费和公务接待费。其中，因公出国（境）费指单位公务出国（境）的住宿费、旅费、伙食补助费、杂费、培训费等支出；公务用车购置运行费指单位公务用车购置费及租用费、燃料费、维修费、过路过桥费、保险费、安全奖励费用等支出；公务接待费指单位按规定开支的各类接待支出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9361DF"/>
    <w:multiLevelType w:val="singleLevel"/>
    <w:tmpl w:val="899361DF"/>
    <w:lvl w:ilvl="0" w:tentative="0">
      <w:start w:val="1"/>
      <w:numFmt w:val="chineseCounting"/>
      <w:suff w:val="nothing"/>
      <w:lvlText w:val="%1、"/>
      <w:lvlJc w:val="left"/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9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521D"/>
    <w:rsid w:val="00001570"/>
    <w:rsid w:val="00002196"/>
    <w:rsid w:val="00004A5A"/>
    <w:rsid w:val="000132E8"/>
    <w:rsid w:val="00016BED"/>
    <w:rsid w:val="0002164D"/>
    <w:rsid w:val="00027F80"/>
    <w:rsid w:val="000430FF"/>
    <w:rsid w:val="00061554"/>
    <w:rsid w:val="00072768"/>
    <w:rsid w:val="00073460"/>
    <w:rsid w:val="00073A1C"/>
    <w:rsid w:val="00083F78"/>
    <w:rsid w:val="00084BC7"/>
    <w:rsid w:val="000A120E"/>
    <w:rsid w:val="000A2622"/>
    <w:rsid w:val="000A61C6"/>
    <w:rsid w:val="000B0330"/>
    <w:rsid w:val="000D10F2"/>
    <w:rsid w:val="000E11AD"/>
    <w:rsid w:val="000E2600"/>
    <w:rsid w:val="000F620F"/>
    <w:rsid w:val="0011394B"/>
    <w:rsid w:val="00116512"/>
    <w:rsid w:val="00117E91"/>
    <w:rsid w:val="0012037F"/>
    <w:rsid w:val="00133B0C"/>
    <w:rsid w:val="00160364"/>
    <w:rsid w:val="00172BEB"/>
    <w:rsid w:val="0017321F"/>
    <w:rsid w:val="0017490C"/>
    <w:rsid w:val="00177B2F"/>
    <w:rsid w:val="00196D1B"/>
    <w:rsid w:val="001A363D"/>
    <w:rsid w:val="001A450C"/>
    <w:rsid w:val="001B0630"/>
    <w:rsid w:val="001B43C4"/>
    <w:rsid w:val="001D3173"/>
    <w:rsid w:val="001D7B94"/>
    <w:rsid w:val="001E082A"/>
    <w:rsid w:val="001E2002"/>
    <w:rsid w:val="001E5848"/>
    <w:rsid w:val="001F5C3A"/>
    <w:rsid w:val="001F69E6"/>
    <w:rsid w:val="001F6EA6"/>
    <w:rsid w:val="00204798"/>
    <w:rsid w:val="00213FB6"/>
    <w:rsid w:val="00214722"/>
    <w:rsid w:val="002209A7"/>
    <w:rsid w:val="00220CDC"/>
    <w:rsid w:val="00224A75"/>
    <w:rsid w:val="002310DD"/>
    <w:rsid w:val="0024686B"/>
    <w:rsid w:val="00253EBE"/>
    <w:rsid w:val="00266CFB"/>
    <w:rsid w:val="00272F81"/>
    <w:rsid w:val="00280017"/>
    <w:rsid w:val="00290690"/>
    <w:rsid w:val="0029175A"/>
    <w:rsid w:val="0029197A"/>
    <w:rsid w:val="002B0CFE"/>
    <w:rsid w:val="002B1D96"/>
    <w:rsid w:val="002B3532"/>
    <w:rsid w:val="002D0E65"/>
    <w:rsid w:val="002E7FD3"/>
    <w:rsid w:val="00300F5D"/>
    <w:rsid w:val="0031611D"/>
    <w:rsid w:val="00325FBD"/>
    <w:rsid w:val="00326DBC"/>
    <w:rsid w:val="003318E0"/>
    <w:rsid w:val="00340E1E"/>
    <w:rsid w:val="00343002"/>
    <w:rsid w:val="003452C1"/>
    <w:rsid w:val="00347A9C"/>
    <w:rsid w:val="00347F00"/>
    <w:rsid w:val="003527CA"/>
    <w:rsid w:val="003544CC"/>
    <w:rsid w:val="00366ABD"/>
    <w:rsid w:val="00367B86"/>
    <w:rsid w:val="00376143"/>
    <w:rsid w:val="00377591"/>
    <w:rsid w:val="00384FE9"/>
    <w:rsid w:val="00391DCA"/>
    <w:rsid w:val="00395FCD"/>
    <w:rsid w:val="003A1AD8"/>
    <w:rsid w:val="003A4D1C"/>
    <w:rsid w:val="003B03D3"/>
    <w:rsid w:val="003B1B6D"/>
    <w:rsid w:val="003D32F0"/>
    <w:rsid w:val="003D3A49"/>
    <w:rsid w:val="003E34C3"/>
    <w:rsid w:val="003E6713"/>
    <w:rsid w:val="003F0725"/>
    <w:rsid w:val="003F4660"/>
    <w:rsid w:val="00402E18"/>
    <w:rsid w:val="004114C1"/>
    <w:rsid w:val="00412DD4"/>
    <w:rsid w:val="00416C13"/>
    <w:rsid w:val="0042448C"/>
    <w:rsid w:val="00424BFE"/>
    <w:rsid w:val="00433C48"/>
    <w:rsid w:val="00435B90"/>
    <w:rsid w:val="00440925"/>
    <w:rsid w:val="004444A9"/>
    <w:rsid w:val="00456A2A"/>
    <w:rsid w:val="004649B6"/>
    <w:rsid w:val="0047221A"/>
    <w:rsid w:val="00475C58"/>
    <w:rsid w:val="00476651"/>
    <w:rsid w:val="00480E6B"/>
    <w:rsid w:val="00481880"/>
    <w:rsid w:val="00481BF7"/>
    <w:rsid w:val="00484FF3"/>
    <w:rsid w:val="004917F6"/>
    <w:rsid w:val="00497FA5"/>
    <w:rsid w:val="004A5FC7"/>
    <w:rsid w:val="004B62CD"/>
    <w:rsid w:val="004D11E2"/>
    <w:rsid w:val="004D20D7"/>
    <w:rsid w:val="004D73C3"/>
    <w:rsid w:val="004E2EF8"/>
    <w:rsid w:val="004F3F49"/>
    <w:rsid w:val="0051575E"/>
    <w:rsid w:val="0052101E"/>
    <w:rsid w:val="005223E8"/>
    <w:rsid w:val="0052707F"/>
    <w:rsid w:val="00551DD9"/>
    <w:rsid w:val="00553A23"/>
    <w:rsid w:val="005615F1"/>
    <w:rsid w:val="00562A65"/>
    <w:rsid w:val="0056720C"/>
    <w:rsid w:val="00571FE5"/>
    <w:rsid w:val="00591085"/>
    <w:rsid w:val="005938E5"/>
    <w:rsid w:val="00597C5D"/>
    <w:rsid w:val="005A4BCA"/>
    <w:rsid w:val="005B24C5"/>
    <w:rsid w:val="005B3B9A"/>
    <w:rsid w:val="005C1BA0"/>
    <w:rsid w:val="005D10EC"/>
    <w:rsid w:val="005D623D"/>
    <w:rsid w:val="005E0440"/>
    <w:rsid w:val="005E1A4B"/>
    <w:rsid w:val="005E1ABC"/>
    <w:rsid w:val="005E5AAE"/>
    <w:rsid w:val="005F0D3B"/>
    <w:rsid w:val="005F5D72"/>
    <w:rsid w:val="006147C0"/>
    <w:rsid w:val="00617AE7"/>
    <w:rsid w:val="006204DF"/>
    <w:rsid w:val="0063337C"/>
    <w:rsid w:val="00635649"/>
    <w:rsid w:val="006421B2"/>
    <w:rsid w:val="00642F39"/>
    <w:rsid w:val="00644DCC"/>
    <w:rsid w:val="0066430F"/>
    <w:rsid w:val="0066771A"/>
    <w:rsid w:val="006809BE"/>
    <w:rsid w:val="00684EBF"/>
    <w:rsid w:val="0069083F"/>
    <w:rsid w:val="00697DBA"/>
    <w:rsid w:val="006B459A"/>
    <w:rsid w:val="006B473E"/>
    <w:rsid w:val="006B4837"/>
    <w:rsid w:val="006C00B0"/>
    <w:rsid w:val="006C452E"/>
    <w:rsid w:val="006C72AC"/>
    <w:rsid w:val="006C7688"/>
    <w:rsid w:val="006D2CC2"/>
    <w:rsid w:val="006D3C5C"/>
    <w:rsid w:val="006E6294"/>
    <w:rsid w:val="006E72AD"/>
    <w:rsid w:val="006F5083"/>
    <w:rsid w:val="00702196"/>
    <w:rsid w:val="007027B6"/>
    <w:rsid w:val="00707582"/>
    <w:rsid w:val="00710DE8"/>
    <w:rsid w:val="0071465B"/>
    <w:rsid w:val="007257DD"/>
    <w:rsid w:val="00732161"/>
    <w:rsid w:val="0073403E"/>
    <w:rsid w:val="00734E78"/>
    <w:rsid w:val="00747E1F"/>
    <w:rsid w:val="00765E2A"/>
    <w:rsid w:val="00782BE8"/>
    <w:rsid w:val="00782CE4"/>
    <w:rsid w:val="007A1AC1"/>
    <w:rsid w:val="007A2989"/>
    <w:rsid w:val="007A5110"/>
    <w:rsid w:val="007A7440"/>
    <w:rsid w:val="007C199D"/>
    <w:rsid w:val="007C2779"/>
    <w:rsid w:val="007D24C5"/>
    <w:rsid w:val="007D3D59"/>
    <w:rsid w:val="007D4319"/>
    <w:rsid w:val="007D611A"/>
    <w:rsid w:val="007E0112"/>
    <w:rsid w:val="007E704C"/>
    <w:rsid w:val="007E7C54"/>
    <w:rsid w:val="007F3130"/>
    <w:rsid w:val="0080427E"/>
    <w:rsid w:val="00804F1B"/>
    <w:rsid w:val="00812D56"/>
    <w:rsid w:val="0081363F"/>
    <w:rsid w:val="008219F5"/>
    <w:rsid w:val="00824FDA"/>
    <w:rsid w:val="00832D8F"/>
    <w:rsid w:val="0083533D"/>
    <w:rsid w:val="00843134"/>
    <w:rsid w:val="008431DE"/>
    <w:rsid w:val="00845FFF"/>
    <w:rsid w:val="00851C33"/>
    <w:rsid w:val="00852187"/>
    <w:rsid w:val="00852DF5"/>
    <w:rsid w:val="0085559B"/>
    <w:rsid w:val="008616AC"/>
    <w:rsid w:val="00862471"/>
    <w:rsid w:val="0086512B"/>
    <w:rsid w:val="00873DD2"/>
    <w:rsid w:val="00874090"/>
    <w:rsid w:val="00875A77"/>
    <w:rsid w:val="00885752"/>
    <w:rsid w:val="00894B44"/>
    <w:rsid w:val="008A4B90"/>
    <w:rsid w:val="008B0E88"/>
    <w:rsid w:val="008C6505"/>
    <w:rsid w:val="008C7E32"/>
    <w:rsid w:val="008D7A88"/>
    <w:rsid w:val="008F55A5"/>
    <w:rsid w:val="00914F43"/>
    <w:rsid w:val="009222A2"/>
    <w:rsid w:val="0092547C"/>
    <w:rsid w:val="0093502A"/>
    <w:rsid w:val="009426BE"/>
    <w:rsid w:val="00944D35"/>
    <w:rsid w:val="00950804"/>
    <w:rsid w:val="00954459"/>
    <w:rsid w:val="00960055"/>
    <w:rsid w:val="00971B68"/>
    <w:rsid w:val="00972F44"/>
    <w:rsid w:val="009731A3"/>
    <w:rsid w:val="009814D8"/>
    <w:rsid w:val="009830CB"/>
    <w:rsid w:val="00983C15"/>
    <w:rsid w:val="00984AAA"/>
    <w:rsid w:val="00994FAB"/>
    <w:rsid w:val="00995600"/>
    <w:rsid w:val="00996862"/>
    <w:rsid w:val="009A2613"/>
    <w:rsid w:val="009A4301"/>
    <w:rsid w:val="009D0889"/>
    <w:rsid w:val="009E5D9B"/>
    <w:rsid w:val="00A01F6A"/>
    <w:rsid w:val="00A221C0"/>
    <w:rsid w:val="00A35377"/>
    <w:rsid w:val="00A37678"/>
    <w:rsid w:val="00A40FF9"/>
    <w:rsid w:val="00A425F2"/>
    <w:rsid w:val="00A53246"/>
    <w:rsid w:val="00A718EC"/>
    <w:rsid w:val="00A71EFF"/>
    <w:rsid w:val="00A73C86"/>
    <w:rsid w:val="00A76FD9"/>
    <w:rsid w:val="00A910BD"/>
    <w:rsid w:val="00AA5FE0"/>
    <w:rsid w:val="00AB0E48"/>
    <w:rsid w:val="00AB37CE"/>
    <w:rsid w:val="00AB6E5A"/>
    <w:rsid w:val="00AC27D5"/>
    <w:rsid w:val="00AF0FB9"/>
    <w:rsid w:val="00B022C0"/>
    <w:rsid w:val="00B05446"/>
    <w:rsid w:val="00B25A37"/>
    <w:rsid w:val="00B26A43"/>
    <w:rsid w:val="00B34B10"/>
    <w:rsid w:val="00B35225"/>
    <w:rsid w:val="00B3716C"/>
    <w:rsid w:val="00B46A15"/>
    <w:rsid w:val="00B46F19"/>
    <w:rsid w:val="00B60A81"/>
    <w:rsid w:val="00B672B5"/>
    <w:rsid w:val="00B70367"/>
    <w:rsid w:val="00B705C6"/>
    <w:rsid w:val="00B71CE3"/>
    <w:rsid w:val="00B863DA"/>
    <w:rsid w:val="00B90E5B"/>
    <w:rsid w:val="00B927E7"/>
    <w:rsid w:val="00BA1B1A"/>
    <w:rsid w:val="00BA36C6"/>
    <w:rsid w:val="00BA5198"/>
    <w:rsid w:val="00BC207F"/>
    <w:rsid w:val="00BD3139"/>
    <w:rsid w:val="00BE1219"/>
    <w:rsid w:val="00BE5DE9"/>
    <w:rsid w:val="00BF5C9F"/>
    <w:rsid w:val="00BF6EBD"/>
    <w:rsid w:val="00C029AF"/>
    <w:rsid w:val="00C0463F"/>
    <w:rsid w:val="00C051A2"/>
    <w:rsid w:val="00C163B1"/>
    <w:rsid w:val="00C22F11"/>
    <w:rsid w:val="00C27784"/>
    <w:rsid w:val="00C36572"/>
    <w:rsid w:val="00C36BDB"/>
    <w:rsid w:val="00C406BC"/>
    <w:rsid w:val="00C416BE"/>
    <w:rsid w:val="00C43369"/>
    <w:rsid w:val="00C562B8"/>
    <w:rsid w:val="00C60328"/>
    <w:rsid w:val="00C76695"/>
    <w:rsid w:val="00C81C8A"/>
    <w:rsid w:val="00C82D88"/>
    <w:rsid w:val="00C929BF"/>
    <w:rsid w:val="00C95075"/>
    <w:rsid w:val="00CA5A8E"/>
    <w:rsid w:val="00CA790B"/>
    <w:rsid w:val="00CB3F5A"/>
    <w:rsid w:val="00CB522C"/>
    <w:rsid w:val="00CC26EC"/>
    <w:rsid w:val="00CD1BAC"/>
    <w:rsid w:val="00CD49BA"/>
    <w:rsid w:val="00CF3A78"/>
    <w:rsid w:val="00CF56A3"/>
    <w:rsid w:val="00D027AD"/>
    <w:rsid w:val="00D10BAC"/>
    <w:rsid w:val="00D1654C"/>
    <w:rsid w:val="00D212CC"/>
    <w:rsid w:val="00D31C86"/>
    <w:rsid w:val="00D31E35"/>
    <w:rsid w:val="00D33090"/>
    <w:rsid w:val="00D3663D"/>
    <w:rsid w:val="00D42712"/>
    <w:rsid w:val="00D4620C"/>
    <w:rsid w:val="00D526B5"/>
    <w:rsid w:val="00D627E3"/>
    <w:rsid w:val="00D63C17"/>
    <w:rsid w:val="00D64296"/>
    <w:rsid w:val="00D75376"/>
    <w:rsid w:val="00D76A95"/>
    <w:rsid w:val="00D92232"/>
    <w:rsid w:val="00DA34FD"/>
    <w:rsid w:val="00DC17BB"/>
    <w:rsid w:val="00DC5066"/>
    <w:rsid w:val="00DE0A3A"/>
    <w:rsid w:val="00DF1D80"/>
    <w:rsid w:val="00DF6259"/>
    <w:rsid w:val="00DF656C"/>
    <w:rsid w:val="00DF7A40"/>
    <w:rsid w:val="00E07DF5"/>
    <w:rsid w:val="00E25D79"/>
    <w:rsid w:val="00E26C3C"/>
    <w:rsid w:val="00E34EC7"/>
    <w:rsid w:val="00E40BD7"/>
    <w:rsid w:val="00E41829"/>
    <w:rsid w:val="00E54A09"/>
    <w:rsid w:val="00E628C1"/>
    <w:rsid w:val="00E772E4"/>
    <w:rsid w:val="00E8327B"/>
    <w:rsid w:val="00E83F8F"/>
    <w:rsid w:val="00E9136C"/>
    <w:rsid w:val="00E92BEC"/>
    <w:rsid w:val="00E933D0"/>
    <w:rsid w:val="00E93DA8"/>
    <w:rsid w:val="00E96C0E"/>
    <w:rsid w:val="00EB2414"/>
    <w:rsid w:val="00EB37BC"/>
    <w:rsid w:val="00EB4212"/>
    <w:rsid w:val="00EC11F0"/>
    <w:rsid w:val="00EC3452"/>
    <w:rsid w:val="00ED6165"/>
    <w:rsid w:val="00ED7573"/>
    <w:rsid w:val="00EE2DC1"/>
    <w:rsid w:val="00EE41CF"/>
    <w:rsid w:val="00EE4D4B"/>
    <w:rsid w:val="00F027A0"/>
    <w:rsid w:val="00F11492"/>
    <w:rsid w:val="00F17169"/>
    <w:rsid w:val="00F204DA"/>
    <w:rsid w:val="00F206CC"/>
    <w:rsid w:val="00F233A7"/>
    <w:rsid w:val="00F24FA1"/>
    <w:rsid w:val="00F33195"/>
    <w:rsid w:val="00F4521D"/>
    <w:rsid w:val="00F87E41"/>
    <w:rsid w:val="00F93ACE"/>
    <w:rsid w:val="00F9584D"/>
    <w:rsid w:val="00F97FD4"/>
    <w:rsid w:val="00FB6183"/>
    <w:rsid w:val="00FC6401"/>
    <w:rsid w:val="00FD7E30"/>
    <w:rsid w:val="00FE715C"/>
    <w:rsid w:val="00FF142E"/>
    <w:rsid w:val="00FF2323"/>
    <w:rsid w:val="00FF3854"/>
    <w:rsid w:val="02593FA1"/>
    <w:rsid w:val="03244DAC"/>
    <w:rsid w:val="034A74FA"/>
    <w:rsid w:val="03D87ABA"/>
    <w:rsid w:val="04D86844"/>
    <w:rsid w:val="0B4607C4"/>
    <w:rsid w:val="0B836DC3"/>
    <w:rsid w:val="0DAB0FBB"/>
    <w:rsid w:val="0FB22E28"/>
    <w:rsid w:val="119355E7"/>
    <w:rsid w:val="11E76EF2"/>
    <w:rsid w:val="152D3C70"/>
    <w:rsid w:val="15305A22"/>
    <w:rsid w:val="157A09AF"/>
    <w:rsid w:val="15AD1A7D"/>
    <w:rsid w:val="1702105E"/>
    <w:rsid w:val="17394729"/>
    <w:rsid w:val="17E468EC"/>
    <w:rsid w:val="19ED4746"/>
    <w:rsid w:val="1AAD18D9"/>
    <w:rsid w:val="1C446AB6"/>
    <w:rsid w:val="1EBE2679"/>
    <w:rsid w:val="1FA542DE"/>
    <w:rsid w:val="213A2ECB"/>
    <w:rsid w:val="23316370"/>
    <w:rsid w:val="24326FEE"/>
    <w:rsid w:val="26586C72"/>
    <w:rsid w:val="298F170D"/>
    <w:rsid w:val="29CD4DBC"/>
    <w:rsid w:val="2B76231B"/>
    <w:rsid w:val="2C893C1B"/>
    <w:rsid w:val="2F2D29B5"/>
    <w:rsid w:val="2FDB7A24"/>
    <w:rsid w:val="323A0610"/>
    <w:rsid w:val="333E2913"/>
    <w:rsid w:val="38387C35"/>
    <w:rsid w:val="39DA374C"/>
    <w:rsid w:val="3A6021C1"/>
    <w:rsid w:val="3F1A04FC"/>
    <w:rsid w:val="40724C8F"/>
    <w:rsid w:val="42C020DD"/>
    <w:rsid w:val="469E02A9"/>
    <w:rsid w:val="47884A18"/>
    <w:rsid w:val="47B438AB"/>
    <w:rsid w:val="4891325E"/>
    <w:rsid w:val="489F5142"/>
    <w:rsid w:val="49FA4763"/>
    <w:rsid w:val="50DB7088"/>
    <w:rsid w:val="51EC71C1"/>
    <w:rsid w:val="5269247E"/>
    <w:rsid w:val="53315D9B"/>
    <w:rsid w:val="54633209"/>
    <w:rsid w:val="54CF7F30"/>
    <w:rsid w:val="55E0204F"/>
    <w:rsid w:val="562527BE"/>
    <w:rsid w:val="573A4212"/>
    <w:rsid w:val="5806150E"/>
    <w:rsid w:val="5AF55017"/>
    <w:rsid w:val="5BE07A37"/>
    <w:rsid w:val="5C2D4668"/>
    <w:rsid w:val="5C47742D"/>
    <w:rsid w:val="5E422F05"/>
    <w:rsid w:val="5EF6491F"/>
    <w:rsid w:val="603D29C3"/>
    <w:rsid w:val="618861DB"/>
    <w:rsid w:val="65A63C32"/>
    <w:rsid w:val="677E4CF9"/>
    <w:rsid w:val="6A5C6026"/>
    <w:rsid w:val="6B2D4B22"/>
    <w:rsid w:val="6BD54DAB"/>
    <w:rsid w:val="6C1612CA"/>
    <w:rsid w:val="6CC1249B"/>
    <w:rsid w:val="6EA85778"/>
    <w:rsid w:val="6ECB1B16"/>
    <w:rsid w:val="6F267BD1"/>
    <w:rsid w:val="70273F36"/>
    <w:rsid w:val="705326EE"/>
    <w:rsid w:val="715F5E7B"/>
    <w:rsid w:val="742A78DC"/>
    <w:rsid w:val="74846079"/>
    <w:rsid w:val="761F4977"/>
    <w:rsid w:val="77E37FC8"/>
    <w:rsid w:val="7A660F12"/>
    <w:rsid w:val="7C031B02"/>
    <w:rsid w:val="7F025D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20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20"/>
    </w:rPr>
  </w:style>
  <w:style w:type="paragraph" w:styleId="4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Footer Char"/>
    <w:basedOn w:val="6"/>
    <w:link w:val="2"/>
    <w:qFormat/>
    <w:locked/>
    <w:uiPriority w:val="99"/>
    <w:rPr>
      <w:rFonts w:cs="Times New Roman"/>
      <w:sz w:val="18"/>
    </w:rPr>
  </w:style>
  <w:style w:type="character" w:customStyle="1" w:styleId="8">
    <w:name w:val="Header Char"/>
    <w:basedOn w:val="6"/>
    <w:link w:val="3"/>
    <w:locked/>
    <w:uiPriority w:val="99"/>
    <w:rPr>
      <w:rFonts w:cs="Times New Roman"/>
      <w:sz w:val="18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黑体" w:eastAsia="宋体" w:cs="黑体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8</Pages>
  <Words>352</Words>
  <Characters>2011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2017-10-31T03:18:00Z</dcterms:created>
  <dc:creator>lenovo</dc:creator>
  <cp:lastModifiedBy>lenovo</cp:lastModifiedBy>
  <dcterms:modified xsi:type="dcterms:W3CDTF">2020-12-14T08:21:54Z</dcterms:modified>
  <dc:title>濮阳市华龙区XXX局</dc:title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