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_GBK" w:eastAsia="方正小标宋_GBK"/>
          <w:sz w:val="40"/>
        </w:rPr>
      </w:pPr>
    </w:p>
    <w:p>
      <w:pPr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  <w:lang w:eastAsia="zh-CN"/>
        </w:rPr>
        <w:t>中共濮阳市华龙区区委办公室</w:t>
      </w:r>
    </w:p>
    <w:p>
      <w:pPr>
        <w:jc w:val="center"/>
        <w:rPr>
          <w:rFonts w:ascii="方正小标宋简体" w:hAnsi="方正小标宋简体" w:eastAsia="方正小标宋简体" w:cs="方正小标宋简体"/>
          <w:spacing w:val="-20"/>
          <w:sz w:val="44"/>
        </w:rPr>
      </w:pPr>
      <w:r>
        <w:rPr>
          <w:rFonts w:hint="eastAsia" w:ascii="方正小标宋简体" w:hAnsi="方正小标宋简体" w:eastAsia="方正小标宋简体" w:cs="方正小标宋简体"/>
          <w:w w:val="85"/>
          <w:sz w:val="56"/>
        </w:rPr>
        <w:t>2020年部门预算公开说明</w:t>
      </w: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both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ascii="方正小标宋_GBK" w:eastAsia="方正小标宋_GBK"/>
          <w:sz w:val="40"/>
        </w:rPr>
      </w:pPr>
    </w:p>
    <w:p>
      <w:pPr>
        <w:jc w:val="center"/>
        <w:rPr>
          <w:rFonts w:hint="eastAsia" w:ascii="方正小标宋_GBK" w:eastAsia="方正小标宋_GBK"/>
          <w:sz w:val="40"/>
        </w:rPr>
      </w:pPr>
    </w:p>
    <w:p>
      <w:pPr>
        <w:jc w:val="center"/>
        <w:rPr>
          <w:rFonts w:ascii="楷体_GB2312" w:eastAsia="楷体_GB2312"/>
          <w:b/>
          <w:w w:val="90"/>
          <w:sz w:val="40"/>
        </w:rPr>
      </w:pP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eastAsia="楷体_GB2312"/>
          <w:b/>
          <w:w w:val="90"/>
          <w:sz w:val="40"/>
        </w:rPr>
        <w:t>二</w:t>
      </w:r>
      <w:r>
        <w:rPr>
          <w:rFonts w:hint="eastAsia" w:ascii="宋体" w:hAnsi="宋体" w:cs="宋体"/>
          <w:b/>
          <w:w w:val="90"/>
          <w:sz w:val="40"/>
        </w:rPr>
        <w:t>〇</w:t>
      </w:r>
      <w:r>
        <w:rPr>
          <w:rFonts w:hint="eastAsia" w:ascii="楷体_GB2312" w:hAnsi="楷体_GB2312" w:eastAsia="楷体_GB2312" w:cs="楷体_GB2312"/>
          <w:b/>
          <w:w w:val="90"/>
          <w:sz w:val="40"/>
        </w:rPr>
        <w:t>年六月</w:t>
      </w:r>
    </w:p>
    <w:p>
      <w:pPr>
        <w:widowControl/>
        <w:jc w:val="left"/>
        <w:rPr>
          <w:rFonts w:ascii="黑体" w:hAnsi="黑体" w:eastAsia="黑体" w:cs="宋体"/>
          <w:color w:val="000000"/>
          <w:kern w:val="0"/>
          <w:sz w:val="44"/>
          <w:szCs w:val="32"/>
        </w:rPr>
      </w:pPr>
      <w:r>
        <w:rPr>
          <w:rFonts w:ascii="黑体" w:hAnsi="黑体" w:eastAsia="黑体"/>
          <w:color w:val="000000"/>
          <w:sz w:val="44"/>
          <w:szCs w:val="32"/>
        </w:rPr>
        <w:br w:type="page"/>
      </w:r>
    </w:p>
    <w:p>
      <w:pPr>
        <w:pStyle w:val="6"/>
        <w:topLinePunct/>
        <w:spacing w:before="0" w:beforeAutospacing="0" w:after="0" w:afterAutospacing="0" w:line="360" w:lineRule="auto"/>
        <w:ind w:firstLine="880"/>
        <w:jc w:val="center"/>
        <w:rPr>
          <w:rFonts w:ascii="黑体" w:hAnsi="黑体" w:eastAsia="黑体"/>
          <w:color w:val="000000"/>
          <w:sz w:val="44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黑体" w:hAnsi="黑体" w:eastAsia="黑体"/>
          <w:color w:val="000000"/>
          <w:sz w:val="44"/>
          <w:szCs w:val="32"/>
        </w:rPr>
      </w:pPr>
      <w:r>
        <w:rPr>
          <w:rFonts w:hint="eastAsia" w:ascii="黑体" w:hAnsi="黑体" w:eastAsia="黑体"/>
          <w:color w:val="000000"/>
          <w:sz w:val="44"/>
          <w:szCs w:val="32"/>
        </w:rPr>
        <w:t>目 录</w:t>
      </w:r>
    </w:p>
    <w:p>
      <w:pPr>
        <w:pStyle w:val="6"/>
        <w:topLinePunct/>
        <w:spacing w:before="0" w:beforeAutospacing="0" w:after="0" w:afterAutospacing="0" w:line="360" w:lineRule="auto"/>
        <w:ind w:firstLine="720"/>
        <w:jc w:val="center"/>
        <w:rPr>
          <w:rFonts w:ascii="黑体" w:hAnsi="黑体" w:eastAsia="黑体"/>
          <w:color w:val="000000"/>
          <w:sz w:val="36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</w:t>
      </w:r>
      <w:r>
        <w:rPr>
          <w:rFonts w:hint="eastAsia"/>
          <w:color w:val="000000"/>
          <w:sz w:val="32"/>
          <w:szCs w:val="32"/>
        </w:rPr>
        <w:t xml:space="preserve"> </w:t>
      </w:r>
      <w:r>
        <w:rPr>
          <w:rFonts w:hint="eastAsia" w:ascii="黑体" w:hAnsi="黑体" w:eastAsia="黑体"/>
          <w:color w:val="000000"/>
          <w:sz w:val="32"/>
          <w:szCs w:val="32"/>
        </w:rPr>
        <w:t>部门概况</w:t>
      </w:r>
      <w:r>
        <w:rPr>
          <w:rFonts w:hint="eastAsia"/>
          <w:color w:val="000000"/>
          <w:sz w:val="32"/>
          <w:szCs w:val="32"/>
        </w:rPr>
        <w:t> 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一、部门主要职责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二、机构设置情况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2020年部门预算情况说明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第三部分 名词解释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rFonts w:ascii="黑体" w:hAnsi="黑体" w:eastAsia="黑体"/>
          <w:color w:val="000000"/>
          <w:sz w:val="32"/>
          <w:szCs w:val="32"/>
        </w:rPr>
      </w:pP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jc w:val="both"/>
        <w:rPr>
          <w:color w:val="000000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附件：</w:t>
      </w:r>
      <w:r>
        <w:rPr>
          <w:rFonts w:hint="eastAsia" w:ascii="黑体" w:hAnsi="黑体" w:eastAsia="黑体"/>
          <w:color w:val="000000"/>
          <w:sz w:val="32"/>
          <w:szCs w:val="32"/>
          <w:lang w:eastAsia="zh-CN"/>
        </w:rPr>
        <w:t>中共濮阳市华龙区区委办公室</w:t>
      </w:r>
      <w:r>
        <w:rPr>
          <w:rFonts w:hint="eastAsia" w:ascii="黑体" w:hAnsi="黑体" w:eastAsia="黑体"/>
          <w:color w:val="000000"/>
          <w:sz w:val="32"/>
          <w:szCs w:val="32"/>
        </w:rPr>
        <w:t>2020年部门预算表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一、部门收支总表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二、部门收入总表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三、部门支出总表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四、财政拨款收支总表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五、一般公共预算支出表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六、一般公共预算基本支出表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七、一般公共预算“三公”经费支出表</w:t>
      </w:r>
    </w:p>
    <w:p>
      <w:pPr>
        <w:pStyle w:val="6"/>
        <w:overflowPunct w:val="0"/>
        <w:topLinePunct/>
        <w:spacing w:before="0" w:beforeAutospacing="0" w:after="0" w:afterAutospacing="0" w:line="360" w:lineRule="auto"/>
        <w:ind w:firstLine="640"/>
        <w:rPr>
          <w:color w:val="000000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八、政府性基金预算支出表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br w:type="page"/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第一部分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部门概况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ascii="黑体" w:hAnsi="黑体" w:eastAsia="黑体"/>
          <w:szCs w:val="32"/>
        </w:rPr>
        <w:t> 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一、部门主要职责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1、负责推动党的理论和路线方针政策贯彻执行，负责党中央、省委、市委决策部署和上级领导重要讲话、批示精神贯彻落实。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2、负责上级领导同志来区视察、外地及省、市直部门领导同志和重要外宾来区公务活动的组织协调。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3、负责推动区委决策部署落实，按照区委要求协调有关方面开展工作，承担区委运行保障具体事务。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4、负责区委各类会议会务工作、区委领导同志参加重大活动的组织安排，负责区委文件、领导讲话等文稿的起草、修改、审核工作。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5、围绕区委总体工作部署，积极开展各领域、各方面的调查研究，反馈真实情况，为区委正确决策和贯彻实施提供依据和参考。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6、负责上级文件办理和区委文件印发管理工作，负责区委日常文书处理、党政领导机关及要害部门核心秘密载体传递工作。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7、负责区委党内法规和规范性文件审核、备案等工作，编制实施区委党内法规和规范性文件制定的规划、计划。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8、围绕上级决策部署和区委中心工作收集信息、反映动态、综合调研、会商研判，提供信息服务。负责区委值班和领导同志外出报备工作。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9、承担区委全面深化改革委员会日常工作，贯彻落实中央和省委、市委、区委全面深化改革的决策部署，负责全区全面深化改革的统筹协调、调查研究、督促检查、考核评估、宣传联络及综合服务等工作.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10、负责总体谋划、统筹协调，归口管理、检查督办全区外事工作，指导各地各部门开展对外交流合作，归口管理全区因公出国工作，协调全区涉外新闻宣传工作等。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11、负责推动区委国家安全委员会工作部署贯彻落实，收集汇总上报国家安全情报信息，组织开展风险监测、预警、防范和危机管控，承担国家安全审查和监管相关工作；组织协调全区国家安全工作。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12、负责推动全区各级党委（党组）落实全面从严治党主体责任工作的统筹协调、任务分解、检查考核、责任追究、调研指导；牵头负责区委落实中央八项规定工作；牵头负责中央巡视河南、省委巡视市委、区委反馈意见整改落实工作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13、负责贯彻执行档案行政管理的法律法规，方针政策，依法履行档案监督指导、行政管理职能，承担区委、区委办公室档案管理工作。负责管理指导区档案馆业务工作。</w:t>
      </w:r>
    </w:p>
    <w:p>
      <w:pPr>
        <w:ind w:firstLine="640" w:firstLineChars="200"/>
        <w:rPr>
          <w:rFonts w:hint="eastAsia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  <w:lang w:val="en-US" w:eastAsia="zh-CN"/>
        </w:rPr>
        <w:t>14、贯彻落实机要保密工作的方针、政策、法律、法规；依法履行机要密码，保密行政管理职责；负责拟定机要密码和保密工作发展规划；负责组织实施全区密码通信、密码管理、信息化密码保障工作；负责全区保密检查和宣传教育工作；承担区委密码工作领导小组和区委保密委员会日常工作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二、机构设置情况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根据工作职责及实际工作需要，</w:t>
      </w:r>
      <w:r>
        <w:rPr>
          <w:rFonts w:hint="eastAsia" w:ascii="仿宋" w:hAnsi="仿宋" w:eastAsia="仿宋"/>
          <w:szCs w:val="32"/>
          <w:lang w:eastAsia="zh-CN"/>
        </w:rPr>
        <w:t>区委办</w:t>
      </w:r>
      <w:r>
        <w:rPr>
          <w:rFonts w:hint="eastAsia" w:ascii="仿宋" w:hAnsi="仿宋" w:eastAsia="仿宋"/>
          <w:szCs w:val="32"/>
        </w:rPr>
        <w:t>部门内设</w:t>
      </w:r>
      <w:r>
        <w:rPr>
          <w:rFonts w:hint="eastAsia" w:ascii="仿宋" w:hAnsi="仿宋" w:eastAsia="仿宋"/>
          <w:szCs w:val="32"/>
          <w:lang w:eastAsia="zh-CN"/>
        </w:rPr>
        <w:t>常委办</w:t>
      </w:r>
      <w:r>
        <w:rPr>
          <w:rFonts w:hint="eastAsia" w:ascii="仿宋" w:hAnsi="仿宋" w:eastAsia="仿宋"/>
          <w:szCs w:val="32"/>
        </w:rPr>
        <w:t>、</w:t>
      </w:r>
      <w:r>
        <w:rPr>
          <w:rFonts w:hint="eastAsia" w:ascii="仿宋" w:hAnsi="仿宋" w:eastAsia="仿宋"/>
          <w:szCs w:val="32"/>
          <w:lang w:eastAsia="zh-CN"/>
        </w:rPr>
        <w:t>综合一科</w:t>
      </w:r>
      <w:r>
        <w:rPr>
          <w:rFonts w:hint="eastAsia" w:ascii="仿宋" w:hAnsi="仿宋" w:eastAsia="仿宋"/>
          <w:szCs w:val="32"/>
        </w:rPr>
        <w:t>、</w:t>
      </w:r>
      <w:r>
        <w:rPr>
          <w:rFonts w:hint="eastAsia" w:ascii="仿宋" w:hAnsi="仿宋" w:eastAsia="仿宋"/>
          <w:szCs w:val="32"/>
          <w:lang w:eastAsia="zh-CN"/>
        </w:rPr>
        <w:t>综合二科、信息科、人事科、法规科、调研科、政研室、改革办、机要保密科、党风廉政建设主体责任工作办公室、档案监督管理室、外事管理科、国家安全综合科、区委值班室</w:t>
      </w:r>
      <w:r>
        <w:rPr>
          <w:rFonts w:hint="eastAsia" w:ascii="仿宋" w:hAnsi="仿宋" w:eastAsia="仿宋"/>
          <w:szCs w:val="32"/>
          <w:lang w:val="en-US" w:eastAsia="zh-CN"/>
        </w:rPr>
        <w:t>15</w:t>
      </w:r>
      <w:r>
        <w:rPr>
          <w:rFonts w:hint="eastAsia" w:ascii="仿宋" w:hAnsi="仿宋" w:eastAsia="仿宋"/>
          <w:szCs w:val="32"/>
        </w:rPr>
        <w:t>个机构，本部门无独立核算的下属预算单位，部门本级预算即汇总预算。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第二部分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2020年部门预算情况说明</w:t>
      </w:r>
    </w:p>
    <w:p>
      <w:pPr>
        <w:ind w:firstLine="640" w:firstLineChars="200"/>
        <w:rPr>
          <w:rFonts w:ascii="华文仿宋" w:hAnsi="华文仿宋" w:eastAsia="华文仿宋"/>
          <w:szCs w:val="32"/>
        </w:rPr>
      </w:pP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一、本级预算和所属单位预算在内的汇总预算总体情况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本部门无独立核算的下属预算单位，部门本级预算即汇总预算。</w:t>
      </w: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785.75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785.75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二、部门预算收支增减变动情况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20年本部门预算收入总计</w:t>
      </w:r>
      <w:r>
        <w:rPr>
          <w:rFonts w:hint="eastAsia" w:ascii="仿宋" w:hAnsi="仿宋" w:eastAsia="仿宋"/>
          <w:szCs w:val="32"/>
          <w:lang w:val="en-US" w:eastAsia="zh-CN"/>
        </w:rPr>
        <w:t>785.75</w:t>
      </w:r>
      <w:r>
        <w:rPr>
          <w:rFonts w:hint="eastAsia" w:ascii="仿宋" w:hAnsi="仿宋" w:eastAsia="仿宋"/>
          <w:szCs w:val="32"/>
        </w:rPr>
        <w:t>万元，支出总计</w:t>
      </w:r>
      <w:r>
        <w:rPr>
          <w:rFonts w:hint="eastAsia" w:ascii="仿宋" w:hAnsi="仿宋" w:eastAsia="仿宋"/>
          <w:szCs w:val="32"/>
          <w:lang w:val="en-US" w:eastAsia="zh-CN"/>
        </w:rPr>
        <w:t>785.75</w:t>
      </w:r>
      <w:r>
        <w:rPr>
          <w:rFonts w:hint="eastAsia" w:ascii="仿宋" w:hAnsi="仿宋" w:eastAsia="仿宋"/>
          <w:szCs w:val="32"/>
        </w:rPr>
        <w:t>万元。其中：基本支出</w:t>
      </w:r>
      <w:r>
        <w:rPr>
          <w:rFonts w:hint="eastAsia" w:ascii="仿宋" w:hAnsi="仿宋" w:eastAsia="仿宋"/>
          <w:szCs w:val="32"/>
          <w:lang w:val="en-US" w:eastAsia="zh-CN"/>
        </w:rPr>
        <w:t>486.75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62</w:t>
      </w:r>
      <w:r>
        <w:rPr>
          <w:rFonts w:hint="eastAsia" w:ascii="仿宋" w:hAnsi="仿宋" w:eastAsia="仿宋"/>
          <w:szCs w:val="32"/>
        </w:rPr>
        <w:t>%，项目支出</w:t>
      </w:r>
      <w:r>
        <w:rPr>
          <w:rFonts w:hint="eastAsia" w:ascii="仿宋" w:hAnsi="仿宋" w:eastAsia="仿宋"/>
          <w:szCs w:val="32"/>
          <w:lang w:val="en-US" w:eastAsia="zh-CN"/>
        </w:rPr>
        <w:t>299</w:t>
      </w:r>
      <w:r>
        <w:rPr>
          <w:rFonts w:hint="eastAsia" w:ascii="仿宋" w:hAnsi="仿宋" w:eastAsia="仿宋"/>
          <w:szCs w:val="32"/>
        </w:rPr>
        <w:t>万元，占比</w:t>
      </w:r>
      <w:r>
        <w:rPr>
          <w:rFonts w:hint="eastAsia" w:ascii="仿宋" w:hAnsi="仿宋" w:eastAsia="仿宋"/>
          <w:szCs w:val="32"/>
          <w:lang w:val="en-US" w:eastAsia="zh-CN"/>
        </w:rPr>
        <w:t>38</w:t>
      </w:r>
      <w:r>
        <w:rPr>
          <w:rFonts w:hint="eastAsia" w:ascii="仿宋" w:hAnsi="仿宋" w:eastAsia="仿宋"/>
          <w:szCs w:val="32"/>
        </w:rPr>
        <w:t>%。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收入和支出均</w:t>
      </w:r>
      <w:r>
        <w:rPr>
          <w:rFonts w:hint="eastAsia" w:ascii="仿宋" w:hAnsi="仿宋" w:eastAsia="仿宋"/>
          <w:szCs w:val="32"/>
        </w:rPr>
        <w:t>较上年增加</w:t>
      </w:r>
      <w:r>
        <w:rPr>
          <w:rFonts w:hint="eastAsia" w:ascii="仿宋" w:hAnsi="仿宋" w:eastAsia="仿宋"/>
          <w:szCs w:val="32"/>
          <w:lang w:val="en-US" w:eastAsia="zh-CN"/>
        </w:rPr>
        <w:t>65.1</w:t>
      </w:r>
      <w:r>
        <w:rPr>
          <w:rFonts w:hint="eastAsia" w:ascii="仿宋" w:hAnsi="仿宋" w:eastAsia="仿宋"/>
          <w:szCs w:val="32"/>
        </w:rPr>
        <w:t>万元，增长</w:t>
      </w:r>
      <w:r>
        <w:rPr>
          <w:rFonts w:hint="eastAsia" w:ascii="仿宋" w:hAnsi="仿宋" w:eastAsia="仿宋"/>
          <w:szCs w:val="32"/>
          <w:lang w:val="en-US" w:eastAsia="zh-CN"/>
        </w:rPr>
        <w:t>8.25</w:t>
      </w:r>
      <w:r>
        <w:rPr>
          <w:rFonts w:ascii="仿宋" w:hAnsi="仿宋" w:eastAsia="仿宋"/>
          <w:szCs w:val="32"/>
        </w:rPr>
        <w:t>%</w:t>
      </w:r>
      <w:r>
        <w:rPr>
          <w:rFonts w:hint="eastAsia" w:ascii="仿宋" w:hAnsi="仿宋" w:eastAsia="仿宋"/>
          <w:szCs w:val="32"/>
        </w:rPr>
        <w:t>，</w:t>
      </w:r>
      <w:r>
        <w:rPr>
          <w:rFonts w:hint="eastAsia" w:ascii="仿宋" w:hAnsi="仿宋" w:eastAsia="仿宋"/>
          <w:sz w:val="32"/>
          <w:szCs w:val="32"/>
        </w:rPr>
        <w:t>主要原因是由于</w:t>
      </w:r>
      <w:r>
        <w:rPr>
          <w:rFonts w:hint="eastAsia" w:ascii="仿宋" w:hAnsi="仿宋" w:eastAsia="仿宋" w:cs="仿宋"/>
          <w:sz w:val="32"/>
          <w:szCs w:val="32"/>
        </w:rPr>
        <w:t>人员工资标准的调整和由此带来的各项社会保险缴存基数的提高，以及实际工作需要带来的项目支出变动调整。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三、一般公共预算基本支出情况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2020年本部门一般公共预算基本支出</w:t>
      </w:r>
      <w:r>
        <w:rPr>
          <w:rFonts w:hint="eastAsia" w:ascii="仿宋" w:hAnsi="仿宋" w:eastAsia="仿宋"/>
          <w:szCs w:val="32"/>
          <w:lang w:val="en-US" w:eastAsia="zh-CN"/>
        </w:rPr>
        <w:t>486.75</w:t>
      </w:r>
      <w:r>
        <w:rPr>
          <w:rFonts w:hint="eastAsia" w:ascii="仿宋" w:hAnsi="仿宋" w:eastAsia="仿宋"/>
          <w:szCs w:val="32"/>
        </w:rPr>
        <w:t>万元，其中：人员经费</w:t>
      </w:r>
      <w:r>
        <w:rPr>
          <w:rFonts w:hint="eastAsia" w:ascii="仿宋" w:hAnsi="仿宋" w:eastAsia="仿宋"/>
          <w:szCs w:val="32"/>
          <w:lang w:val="en-US" w:eastAsia="zh-CN"/>
        </w:rPr>
        <w:t>434.55</w:t>
      </w:r>
      <w:r>
        <w:rPr>
          <w:rFonts w:hint="eastAsia" w:ascii="仿宋" w:hAnsi="仿宋" w:eastAsia="仿宋"/>
          <w:szCs w:val="32"/>
        </w:rPr>
        <w:t>万元，主要包括：基本工资、津贴补贴、绩效工资、机关事业单位基本养老保险缴费、医疗保险缴费、其他社会保障缴费、住房公积金、退休费；公用经费</w:t>
      </w:r>
      <w:r>
        <w:rPr>
          <w:rFonts w:hint="eastAsia" w:ascii="仿宋" w:hAnsi="仿宋" w:eastAsia="仿宋"/>
          <w:szCs w:val="32"/>
          <w:lang w:val="en-US" w:eastAsia="zh-CN"/>
        </w:rPr>
        <w:t xml:space="preserve"> 52.2</w:t>
      </w:r>
      <w:r>
        <w:rPr>
          <w:rFonts w:hint="eastAsia" w:ascii="仿宋" w:hAnsi="仿宋" w:eastAsia="仿宋"/>
          <w:szCs w:val="32"/>
        </w:rPr>
        <w:t>万元，主要包括：办公费</w:t>
      </w:r>
      <w:r>
        <w:rPr>
          <w:rFonts w:hint="eastAsia" w:ascii="仿宋" w:hAnsi="仿宋" w:eastAsia="仿宋"/>
          <w:szCs w:val="32"/>
          <w:lang w:val="en-US" w:eastAsia="zh-CN"/>
        </w:rPr>
        <w:t>等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四、机关运行经费安排情况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20年本部门机关运行经费安排</w:t>
      </w:r>
      <w:r>
        <w:rPr>
          <w:rFonts w:hint="eastAsia" w:ascii="仿宋" w:hAnsi="仿宋" w:eastAsia="仿宋"/>
          <w:szCs w:val="32"/>
          <w:lang w:val="en-US" w:eastAsia="zh-CN"/>
        </w:rPr>
        <w:t>52.2</w:t>
      </w:r>
      <w:r>
        <w:rPr>
          <w:rFonts w:hint="eastAsia" w:ascii="仿宋" w:hAnsi="仿宋" w:eastAsia="仿宋"/>
          <w:szCs w:val="32"/>
        </w:rPr>
        <w:t>万元，主要用于保障机关机构正常运转及正常履职需要的办公费</w:t>
      </w:r>
      <w:r>
        <w:rPr>
          <w:rFonts w:hint="eastAsia" w:ascii="仿宋" w:hAnsi="仿宋" w:eastAsia="仿宋"/>
          <w:szCs w:val="32"/>
          <w:lang w:val="en-US" w:eastAsia="zh-CN"/>
        </w:rPr>
        <w:t>等方面</w:t>
      </w:r>
      <w:r>
        <w:rPr>
          <w:rFonts w:hint="eastAsia" w:ascii="仿宋" w:hAnsi="仿宋" w:eastAsia="仿宋"/>
          <w:szCs w:val="32"/>
        </w:rPr>
        <w:t>，比上年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3.5</w:t>
      </w:r>
      <w:r>
        <w:rPr>
          <w:rFonts w:hint="eastAsia" w:ascii="仿宋" w:hAnsi="仿宋" w:eastAsia="仿宋"/>
          <w:szCs w:val="32"/>
        </w:rPr>
        <w:t>万元，</w:t>
      </w:r>
      <w:r>
        <w:rPr>
          <w:rFonts w:hint="eastAsia" w:ascii="仿宋" w:hAnsi="仿宋" w:eastAsia="仿宋"/>
          <w:szCs w:val="32"/>
          <w:lang w:eastAsia="zh-CN"/>
        </w:rPr>
        <w:t>增加</w:t>
      </w:r>
      <w:r>
        <w:rPr>
          <w:rFonts w:hint="eastAsia" w:ascii="仿宋" w:hAnsi="仿宋" w:eastAsia="仿宋"/>
          <w:szCs w:val="32"/>
          <w:lang w:val="en-US" w:eastAsia="zh-CN"/>
        </w:rPr>
        <w:t>6.7</w:t>
      </w:r>
      <w:r>
        <w:rPr>
          <w:rFonts w:hint="eastAsia" w:ascii="仿宋" w:hAnsi="仿宋" w:eastAsia="仿宋"/>
          <w:szCs w:val="32"/>
        </w:rPr>
        <w:t>%，主要原因是</w:t>
      </w:r>
      <w:r>
        <w:rPr>
          <w:rFonts w:hint="eastAsia" w:ascii="仿宋" w:hAnsi="仿宋" w:eastAsia="仿宋"/>
          <w:sz w:val="32"/>
          <w:szCs w:val="32"/>
        </w:rPr>
        <w:t>根据物价上涨适当做出的调整。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五、“三公”经费安排情况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</w:rPr>
        <w:t>20年本部门“三公”经费预算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万元，较上年减少</w:t>
      </w:r>
      <w:r>
        <w:rPr>
          <w:rFonts w:hint="eastAsia" w:ascii="仿宋" w:hAnsi="仿宋" w:eastAsia="仿宋"/>
          <w:szCs w:val="32"/>
          <w:lang w:val="en-US" w:eastAsia="zh-CN"/>
        </w:rPr>
        <w:t>19</w:t>
      </w:r>
      <w:r>
        <w:rPr>
          <w:rFonts w:hint="eastAsia" w:ascii="仿宋" w:hAnsi="仿宋" w:eastAsia="仿宋"/>
          <w:szCs w:val="32"/>
        </w:rPr>
        <w:t>万元，主要原因是</w:t>
      </w:r>
      <w:r>
        <w:rPr>
          <w:rFonts w:hint="eastAsia" w:ascii="仿宋" w:hAnsi="仿宋" w:eastAsia="仿宋"/>
          <w:szCs w:val="32"/>
          <w:lang w:eastAsia="zh-CN"/>
        </w:rPr>
        <w:t>去年结转资金剩余</w:t>
      </w:r>
      <w:r>
        <w:rPr>
          <w:rFonts w:hint="eastAsia" w:ascii="仿宋" w:hAnsi="仿宋" w:eastAsia="仿宋"/>
          <w:szCs w:val="32"/>
        </w:rPr>
        <w:t>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1.因公出国（境）费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万元；</w:t>
      </w:r>
      <w:r>
        <w:rPr>
          <w:rFonts w:ascii="仿宋" w:hAnsi="仿宋" w:eastAsia="仿宋"/>
          <w:szCs w:val="32"/>
        </w:rPr>
        <w:t xml:space="preserve"> 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2.公务用车购置及运行费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万元，其中：公务用车购置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万元，公务用车运行费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3.公务接待费</w:t>
      </w:r>
      <w:r>
        <w:rPr>
          <w:rFonts w:hint="eastAsia" w:ascii="仿宋" w:hAnsi="仿宋" w:eastAsia="仿宋"/>
          <w:szCs w:val="32"/>
          <w:lang w:val="en-US" w:eastAsia="zh-CN"/>
        </w:rPr>
        <w:t>0</w:t>
      </w:r>
      <w:r>
        <w:rPr>
          <w:rFonts w:hint="eastAsia" w:ascii="仿宋" w:hAnsi="仿宋" w:eastAsia="仿宋"/>
          <w:szCs w:val="32"/>
        </w:rPr>
        <w:t>万元。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黑体" w:hAnsi="黑体" w:eastAsia="黑体"/>
          <w:szCs w:val="32"/>
        </w:rPr>
        <w:t>六、政府采购安排情况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ascii="仿宋" w:hAnsi="仿宋" w:eastAsia="仿宋"/>
          <w:szCs w:val="32"/>
        </w:rPr>
        <w:t>20</w:t>
      </w:r>
      <w:r>
        <w:rPr>
          <w:rFonts w:hint="eastAsia" w:ascii="仿宋" w:hAnsi="仿宋" w:eastAsia="仿宋"/>
          <w:szCs w:val="32"/>
          <w:lang w:val="en-US" w:eastAsia="zh-CN"/>
        </w:rPr>
        <w:t>20</w:t>
      </w:r>
      <w:r>
        <w:rPr>
          <w:rFonts w:hint="eastAsia" w:ascii="仿宋" w:hAnsi="仿宋" w:eastAsia="仿宋"/>
          <w:szCs w:val="32"/>
        </w:rPr>
        <w:t>年本部门无政府采购预算安排。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七、政府性基金预算安排情况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本部门无政府性基金预算收支安排，较上年无变动。</w:t>
      </w:r>
      <w:bookmarkStart w:id="0" w:name="_GoBack"/>
      <w:bookmarkEnd w:id="0"/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八、</w:t>
      </w:r>
      <w:r>
        <w:rPr>
          <w:rFonts w:ascii="黑体" w:hAnsi="黑体" w:eastAsia="黑体"/>
          <w:szCs w:val="32"/>
        </w:rPr>
        <w:t>国有资产占用情况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Cs w:val="32"/>
        </w:rPr>
        <w:t>截止201</w:t>
      </w:r>
      <w:r>
        <w:rPr>
          <w:rFonts w:hint="eastAsia" w:ascii="仿宋" w:hAnsi="仿宋" w:eastAsia="仿宋"/>
          <w:szCs w:val="32"/>
        </w:rPr>
        <w:t>9年末，</w:t>
      </w:r>
      <w:r>
        <w:rPr>
          <w:rFonts w:hint="eastAsia" w:ascii="仿宋" w:hAnsi="仿宋" w:eastAsia="仿宋"/>
          <w:sz w:val="32"/>
          <w:szCs w:val="32"/>
        </w:rPr>
        <w:t>本部门共有车辆4辆，其中：一般公务用车4辆、一般执法执勤用车0辆、特种专业技术用车0辆，其他用车0辆；单位价值</w:t>
      </w:r>
      <w:r>
        <w:rPr>
          <w:rFonts w:ascii="仿宋" w:hAnsi="仿宋" w:eastAsia="仿宋"/>
          <w:sz w:val="32"/>
          <w:szCs w:val="32"/>
        </w:rPr>
        <w:t>50</w:t>
      </w:r>
      <w:r>
        <w:rPr>
          <w:rFonts w:hint="eastAsia" w:ascii="仿宋" w:hAnsi="仿宋" w:eastAsia="仿宋"/>
          <w:sz w:val="32"/>
          <w:szCs w:val="32"/>
        </w:rPr>
        <w:t>万元以上通用设备0台（套），单位价值</w:t>
      </w:r>
      <w:r>
        <w:rPr>
          <w:rFonts w:ascii="仿宋" w:hAnsi="仿宋" w:eastAsia="仿宋"/>
          <w:sz w:val="32"/>
          <w:szCs w:val="32"/>
        </w:rPr>
        <w:t>100</w:t>
      </w:r>
      <w:r>
        <w:rPr>
          <w:rFonts w:hint="eastAsia" w:ascii="仿宋" w:hAnsi="仿宋" w:eastAsia="仿宋"/>
          <w:sz w:val="32"/>
          <w:szCs w:val="32"/>
        </w:rPr>
        <w:t>万元以上专用设备0台（套）。</w:t>
      </w:r>
    </w:p>
    <w:p>
      <w:pPr>
        <w:ind w:firstLine="640" w:firstLineChars="20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九、预算绩效管理工作开展情况</w:t>
      </w:r>
    </w:p>
    <w:p>
      <w:pPr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按照《濮阳市华龙区财政局关于编制区级部门2020-2022年收支规划和2020年部门预算的通知》（华龙财〔2019〕108号）有关全面推进预算绩效管理方面的要求，本部门牢固树立“讲绩效、重绩效、用绩效”的绩效管理理念，年度预算申报时，针对政策及重点项目逐项设立并报送了预算绩效目标。绩效目标设定涉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个项目，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275</w:t>
      </w:r>
      <w:r>
        <w:rPr>
          <w:rFonts w:hint="eastAsia" w:ascii="仿宋" w:hAnsi="仿宋" w:eastAsia="仿宋"/>
          <w:sz w:val="32"/>
          <w:szCs w:val="32"/>
        </w:rPr>
        <w:t>万元，并将以此为基础开展后续预算绩效管理工作，努力建立健全以结果为导向的预算绩效管理工作机制。</w:t>
      </w:r>
    </w:p>
    <w:p>
      <w:pPr>
        <w:ind w:firstLine="640" w:firstLineChars="200"/>
        <w:rPr>
          <w:rFonts w:ascii="黑体" w:hAnsi="黑体" w:eastAsia="黑体"/>
          <w:szCs w:val="32"/>
        </w:rPr>
      </w:pPr>
    </w:p>
    <w:p>
      <w:pPr>
        <w:rPr>
          <w:rFonts w:ascii="黑体" w:hAnsi="黑体" w:eastAsia="黑体"/>
          <w:szCs w:val="32"/>
        </w:rPr>
      </w:pP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第三部分</w:t>
      </w:r>
    </w:p>
    <w:p>
      <w:pPr>
        <w:pStyle w:val="6"/>
        <w:topLinePunct/>
        <w:spacing w:before="0" w:beforeAutospacing="0" w:after="0" w:afterAutospacing="0" w:line="360" w:lineRule="auto"/>
        <w:jc w:val="center"/>
        <w:rPr>
          <w:rFonts w:ascii="Calibri" w:hAnsi="Calibri"/>
          <w:color w:val="000000"/>
          <w:sz w:val="22"/>
          <w:szCs w:val="21"/>
        </w:rPr>
      </w:pPr>
      <w:r>
        <w:rPr>
          <w:rFonts w:hint="eastAsia" w:ascii="黑体" w:hAnsi="黑体" w:eastAsia="黑体"/>
          <w:color w:val="000000"/>
          <w:sz w:val="36"/>
          <w:szCs w:val="32"/>
        </w:rPr>
        <w:t>名词解释</w:t>
      </w:r>
    </w:p>
    <w:p>
      <w:pPr>
        <w:ind w:firstLine="640" w:firstLineChars="200"/>
        <w:rPr>
          <w:rFonts w:ascii="仿宋" w:hAnsi="仿宋" w:eastAsia="仿宋"/>
          <w:szCs w:val="32"/>
        </w:rPr>
      </w:pP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一、财政拨款收入</w:t>
      </w:r>
    </w:p>
    <w:p>
      <w:pPr>
        <w:ind w:firstLine="64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指本级财政当年拨付的资金。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二、事业收入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指事业单位开展专务活动及辅助所取得的收入。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三、其他收入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指除“财政拨款”、“事业收入”、“事业单位经营收入”、“附属单位上缴收入”等以外的收入。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四、基本支出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指为保障机构正常运转、完成日常工作任务所必需的开支，其内容包括人员经费和日常公用经费两部分。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五、项目支出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指在基本支出之外，为完成特定的行政工作任务或事业发展目标所发生的支出。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六、机关运行经费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为保障行政单位（含参照公务员法管理的事业单位）正常运转及正常履职需要的支出，包括办公费、印刷费、“三公”经费、差旅费、会议费、日常维修费、办公用房水电费、办公用房取暖费、办公用房物业管理费、公务用车运行维护费以及其他费用。</w:t>
      </w:r>
    </w:p>
    <w:p>
      <w:pPr>
        <w:ind w:firstLine="640"/>
        <w:rPr>
          <w:rFonts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七、“三公”经费</w:t>
      </w:r>
    </w:p>
    <w:p>
      <w:pPr>
        <w:ind w:firstLine="640" w:firstLineChars="200"/>
        <w:rPr>
          <w:rFonts w:ascii="仿宋" w:hAnsi="仿宋" w:eastAsia="仿宋"/>
          <w:szCs w:val="32"/>
        </w:rPr>
      </w:pPr>
      <w:r>
        <w:rPr>
          <w:rFonts w:hint="eastAsia" w:ascii="仿宋" w:hAnsi="仿宋" w:eastAsia="仿宋"/>
          <w:szCs w:val="32"/>
        </w:rPr>
        <w:t>指纳入本级财政预决算管理，本级部门使用财政拨款安排的因公出国（境）费、公务用车购置及运行费和公务接待费。其中，因公出国（境）费指单位公务出国（境）的住宿费、旅费、伙食补助费、杂费、培训费等支出；公务用车购置及运行费指单位公务用车购置费及租用费、燃料费、维修费、过路过桥费、保险费、安全奖励费用等支出；公务接待费指单位按规定开支的各类接待支出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- 10 -</w:t>
                          </w:r>
                          <w:r>
                            <w:rPr>
                              <w:rFonts w:hint="eastAsia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sz w:val="21"/>
                        <w:szCs w:val="21"/>
                      </w:rPr>
                    </w:pP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- 10 -</w:t>
                    </w:r>
                    <w:r>
                      <w:rPr>
                        <w:rFonts w:hint="eastAsia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FAC"/>
    <w:rsid w:val="000B392C"/>
    <w:rsid w:val="00125FAC"/>
    <w:rsid w:val="00127F6F"/>
    <w:rsid w:val="00162A29"/>
    <w:rsid w:val="001852DE"/>
    <w:rsid w:val="001965F5"/>
    <w:rsid w:val="00196E05"/>
    <w:rsid w:val="001B31A3"/>
    <w:rsid w:val="00207623"/>
    <w:rsid w:val="0024750C"/>
    <w:rsid w:val="002A397A"/>
    <w:rsid w:val="00334DFB"/>
    <w:rsid w:val="00377211"/>
    <w:rsid w:val="003838FD"/>
    <w:rsid w:val="003C0C15"/>
    <w:rsid w:val="004A3479"/>
    <w:rsid w:val="004E79D5"/>
    <w:rsid w:val="0051511D"/>
    <w:rsid w:val="00583109"/>
    <w:rsid w:val="005C4BFD"/>
    <w:rsid w:val="005E427E"/>
    <w:rsid w:val="0060448E"/>
    <w:rsid w:val="00612ECF"/>
    <w:rsid w:val="007C5FD2"/>
    <w:rsid w:val="00845860"/>
    <w:rsid w:val="008A08E8"/>
    <w:rsid w:val="008A2F34"/>
    <w:rsid w:val="008D7DD2"/>
    <w:rsid w:val="008E57A8"/>
    <w:rsid w:val="00925F66"/>
    <w:rsid w:val="00975602"/>
    <w:rsid w:val="00976444"/>
    <w:rsid w:val="009A1FE2"/>
    <w:rsid w:val="00A02B5D"/>
    <w:rsid w:val="00B62460"/>
    <w:rsid w:val="00BC0D2F"/>
    <w:rsid w:val="00C15DCD"/>
    <w:rsid w:val="00C56A03"/>
    <w:rsid w:val="00D56ECE"/>
    <w:rsid w:val="00DA4FD4"/>
    <w:rsid w:val="00DF06AF"/>
    <w:rsid w:val="00E56EAF"/>
    <w:rsid w:val="00E72D14"/>
    <w:rsid w:val="00F34146"/>
    <w:rsid w:val="00F97444"/>
    <w:rsid w:val="00FC2311"/>
    <w:rsid w:val="00FD4637"/>
    <w:rsid w:val="00FE26A6"/>
    <w:rsid w:val="04165922"/>
    <w:rsid w:val="207225A9"/>
    <w:rsid w:val="33B03E59"/>
    <w:rsid w:val="3A8D647D"/>
    <w:rsid w:val="537D4091"/>
    <w:rsid w:val="65690C5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eastAsia="仿宋_GB2312" w:hAnsiTheme="minorHAnsi" w:cstheme="minorBidi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jc w:val="center"/>
      <w:outlineLvl w:val="0"/>
    </w:pPr>
    <w:rPr>
      <w:rFonts w:ascii="方正小标宋_GBK" w:eastAsia="方正小标宋_GBK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9">
    <w:name w:val="标题 1 字符"/>
    <w:basedOn w:val="8"/>
    <w:link w:val="2"/>
    <w:qFormat/>
    <w:uiPriority w:val="9"/>
    <w:rPr>
      <w:rFonts w:ascii="方正小标宋_GBK" w:eastAsia="方正小标宋_GBK"/>
      <w:sz w:val="44"/>
    </w:rPr>
  </w:style>
  <w:style w:type="character" w:customStyle="1" w:styleId="10">
    <w:name w:val="页眉 字符"/>
    <w:basedOn w:val="8"/>
    <w:link w:val="5"/>
    <w:qFormat/>
    <w:uiPriority w:val="99"/>
    <w:rPr>
      <w:rFonts w:ascii="仿宋_GB2312" w:eastAsia="仿宋_GB2312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仿宋_GB2312" w:eastAsia="仿宋_GB2312"/>
      <w:sz w:val="18"/>
      <w:szCs w:val="18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字符"/>
    <w:basedOn w:val="8"/>
    <w:link w:val="3"/>
    <w:semiHidden/>
    <w:qFormat/>
    <w:uiPriority w:val="99"/>
    <w:rPr>
      <w:rFonts w:ascii="仿宋_GB2312" w:eastAsia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397</Words>
  <Characters>2269</Characters>
  <Lines>18</Lines>
  <Paragraphs>5</Paragraphs>
  <TotalTime>1</TotalTime>
  <ScaleCrop>false</ScaleCrop>
  <LinksUpToDate>false</LinksUpToDate>
  <CharactersWithSpaces>2661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2020-03-03T01:56:00Z</dcterms:created>
  <dc:creator>ys-pc</dc:creator>
  <cp:lastModifiedBy>lenovo</cp:lastModifiedBy>
  <cp:lastPrinted>2020-03-03T07:59:00Z</cp:lastPrinted>
  <dcterms:modified xsi:type="dcterms:W3CDTF">2020-12-14T08:27:26Z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