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_GBK" w:eastAsia="方正小标宋_GBK"/>
          <w:sz w:val="40"/>
        </w:rPr>
      </w:pPr>
    </w:p>
    <w:p>
      <w:pPr>
        <w:rPr>
          <w:rFonts w:ascii="方正小标宋_GBK" w:eastAsia="方正小标宋_GBK"/>
          <w:sz w:val="40"/>
        </w:rPr>
      </w:pPr>
    </w:p>
    <w:p>
      <w:pPr>
        <w:jc w:val="center"/>
        <w:rPr>
          <w:rFonts w:hint="eastAsia" w:ascii="方正小标宋简体" w:hAnsi="方正小标宋简体" w:eastAsia="方正小标宋简体" w:cs="方正小标宋简体"/>
          <w:w w:val="85"/>
          <w:sz w:val="56"/>
        </w:rPr>
      </w:pPr>
      <w:r>
        <w:rPr>
          <w:rFonts w:hint="eastAsia" w:ascii="方正小标宋简体" w:hAnsi="方正小标宋简体" w:eastAsia="方正小标宋简体" w:cs="方正小标宋简体"/>
          <w:w w:val="85"/>
          <w:sz w:val="56"/>
        </w:rPr>
        <w:t>中共濮阳市华龙区委</w:t>
      </w:r>
    </w:p>
    <w:p>
      <w:pPr>
        <w:jc w:val="center"/>
        <w:rPr>
          <w:rFonts w:hint="eastAsia" w:ascii="方正小标宋简体" w:hAnsi="方正小标宋简体" w:eastAsia="方正小标宋简体" w:cs="方正小标宋简体"/>
          <w:w w:val="85"/>
          <w:sz w:val="56"/>
        </w:rPr>
      </w:pPr>
      <w:r>
        <w:rPr>
          <w:rFonts w:hint="eastAsia" w:ascii="方正小标宋简体" w:hAnsi="方正小标宋简体" w:eastAsia="方正小标宋简体" w:cs="方正小标宋简体"/>
          <w:w w:val="85"/>
          <w:sz w:val="56"/>
        </w:rPr>
        <w:t>机构编制委员会办公室</w:t>
      </w:r>
    </w:p>
    <w:p>
      <w:pPr>
        <w:jc w:val="center"/>
        <w:rPr>
          <w:rFonts w:ascii="方正小标宋简体" w:hAnsi="方正小标宋简体" w:eastAsia="方正小标宋简体" w:cs="方正小标宋简体"/>
          <w:spacing w:val="-20"/>
          <w:sz w:val="44"/>
        </w:rPr>
      </w:pPr>
      <w:r>
        <w:rPr>
          <w:rFonts w:hint="eastAsia" w:ascii="方正小标宋简体" w:hAnsi="方正小标宋简体" w:eastAsia="方正小标宋简体" w:cs="方正小标宋简体"/>
          <w:w w:val="85"/>
          <w:sz w:val="56"/>
        </w:rPr>
        <w:t>2020年部门预算公开说明</w:t>
      </w: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both"/>
        <w:rPr>
          <w:rFonts w:ascii="方正小标宋_GBK" w:eastAsia="方正小标宋_GBK"/>
          <w:sz w:val="40"/>
        </w:rPr>
      </w:pPr>
    </w:p>
    <w:p>
      <w:pPr>
        <w:jc w:val="center"/>
        <w:rPr>
          <w:rFonts w:ascii="楷体_GB2312" w:eastAsia="楷体_GB2312"/>
          <w:b/>
          <w:w w:val="90"/>
          <w:sz w:val="40"/>
        </w:rPr>
      </w:pPr>
      <w:r>
        <w:rPr>
          <w:rFonts w:hint="eastAsia" w:ascii="楷体_GB2312" w:eastAsia="楷体_GB2312"/>
          <w:b/>
          <w:w w:val="90"/>
          <w:sz w:val="40"/>
        </w:rPr>
        <w:t>二</w:t>
      </w:r>
      <w:r>
        <w:rPr>
          <w:rFonts w:hint="eastAsia" w:ascii="宋体" w:hAnsi="宋体" w:cs="宋体"/>
          <w:b/>
          <w:w w:val="90"/>
          <w:sz w:val="40"/>
        </w:rPr>
        <w:t>〇</w:t>
      </w:r>
      <w:r>
        <w:rPr>
          <w:rFonts w:hint="eastAsia" w:ascii="楷体_GB2312" w:eastAsia="楷体_GB2312"/>
          <w:b/>
          <w:w w:val="90"/>
          <w:sz w:val="40"/>
        </w:rPr>
        <w:t>二</w:t>
      </w:r>
      <w:r>
        <w:rPr>
          <w:rFonts w:hint="eastAsia" w:ascii="宋体" w:hAnsi="宋体" w:cs="宋体"/>
          <w:b/>
          <w:w w:val="90"/>
          <w:sz w:val="40"/>
        </w:rPr>
        <w:t>〇</w:t>
      </w:r>
      <w:r>
        <w:rPr>
          <w:rFonts w:hint="eastAsia" w:ascii="楷体_GB2312" w:hAnsi="楷体_GB2312" w:eastAsia="楷体_GB2312" w:cs="楷体_GB2312"/>
          <w:b/>
          <w:w w:val="90"/>
          <w:sz w:val="40"/>
        </w:rPr>
        <w:t>年六月</w:t>
      </w:r>
    </w:p>
    <w:p>
      <w:pPr>
        <w:widowControl/>
        <w:jc w:val="left"/>
        <w:rPr>
          <w:rFonts w:ascii="黑体" w:hAnsi="黑体" w:eastAsia="黑体" w:cs="宋体"/>
          <w:color w:val="000000"/>
          <w:kern w:val="0"/>
          <w:sz w:val="44"/>
          <w:szCs w:val="32"/>
        </w:rPr>
      </w:pPr>
      <w:r>
        <w:rPr>
          <w:rFonts w:ascii="黑体" w:hAnsi="黑体" w:eastAsia="黑体"/>
          <w:color w:val="000000"/>
          <w:sz w:val="44"/>
          <w:szCs w:val="32"/>
        </w:rPr>
        <w:br w:type="page"/>
      </w:r>
    </w:p>
    <w:p>
      <w:pPr>
        <w:pStyle w:val="6"/>
        <w:topLinePunct/>
        <w:spacing w:before="0" w:beforeAutospacing="0" w:after="0" w:afterAutospacing="0" w:line="360" w:lineRule="auto"/>
        <w:ind w:firstLine="880"/>
        <w:jc w:val="center"/>
        <w:rPr>
          <w:rFonts w:ascii="黑体" w:hAnsi="黑体" w:eastAsia="黑体"/>
          <w:color w:val="000000"/>
          <w:sz w:val="44"/>
          <w:szCs w:val="32"/>
        </w:rPr>
      </w:pPr>
    </w:p>
    <w:p>
      <w:pPr>
        <w:pStyle w:val="6"/>
        <w:topLinePunct/>
        <w:spacing w:before="0" w:beforeAutospacing="0" w:after="0" w:afterAutospacing="0" w:line="360" w:lineRule="auto"/>
        <w:jc w:val="center"/>
        <w:rPr>
          <w:rFonts w:ascii="黑体" w:hAnsi="黑体" w:eastAsia="黑体"/>
          <w:color w:val="000000"/>
          <w:sz w:val="44"/>
          <w:szCs w:val="32"/>
        </w:rPr>
      </w:pPr>
      <w:r>
        <w:rPr>
          <w:rFonts w:hint="eastAsia" w:ascii="黑体" w:hAnsi="黑体" w:eastAsia="黑体"/>
          <w:color w:val="000000"/>
          <w:sz w:val="44"/>
          <w:szCs w:val="32"/>
        </w:rPr>
        <w:t>目 录</w:t>
      </w:r>
    </w:p>
    <w:p>
      <w:pPr>
        <w:pStyle w:val="6"/>
        <w:topLinePunct/>
        <w:spacing w:before="0" w:beforeAutospacing="0" w:after="0" w:afterAutospacing="0" w:line="360" w:lineRule="auto"/>
        <w:ind w:firstLine="720"/>
        <w:jc w:val="center"/>
        <w:rPr>
          <w:rFonts w:ascii="黑体" w:hAnsi="黑体" w:eastAsia="黑体"/>
          <w:color w:val="000000"/>
          <w:sz w:val="36"/>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第一部分</w:t>
      </w:r>
      <w:r>
        <w:rPr>
          <w:rFonts w:hint="eastAsia"/>
          <w:color w:val="000000"/>
          <w:sz w:val="32"/>
          <w:szCs w:val="32"/>
        </w:rPr>
        <w:t xml:space="preserve"> </w:t>
      </w:r>
      <w:r>
        <w:rPr>
          <w:rFonts w:hint="eastAsia" w:ascii="黑体" w:hAnsi="黑体" w:eastAsia="黑体"/>
          <w:color w:val="000000"/>
          <w:sz w:val="32"/>
          <w:szCs w:val="32"/>
        </w:rPr>
        <w:t>部门概况</w:t>
      </w:r>
      <w:r>
        <w:rPr>
          <w:rFonts w:hint="eastAsia"/>
          <w:color w:val="000000"/>
          <w:sz w:val="32"/>
          <w:szCs w:val="32"/>
        </w:rPr>
        <w:t> </w:t>
      </w:r>
    </w:p>
    <w:p>
      <w:pPr>
        <w:pStyle w:val="6"/>
        <w:overflowPunct w:val="0"/>
        <w:topLinePunct/>
        <w:spacing w:before="0" w:beforeAutospacing="0" w:after="0" w:afterAutospacing="0" w:line="360" w:lineRule="auto"/>
        <w:ind w:firstLine="640"/>
        <w:rPr>
          <w:rFonts w:ascii="仿宋" w:hAnsi="仿宋" w:eastAsia="仿宋"/>
          <w:color w:val="000000"/>
        </w:rPr>
      </w:pPr>
      <w:r>
        <w:rPr>
          <w:rFonts w:hint="eastAsia" w:ascii="仿宋" w:hAnsi="仿宋" w:eastAsia="仿宋"/>
          <w:color w:val="000000"/>
          <w:sz w:val="32"/>
          <w:szCs w:val="32"/>
        </w:rPr>
        <w:t>一、部门主要职责</w:t>
      </w:r>
    </w:p>
    <w:p>
      <w:pPr>
        <w:pStyle w:val="6"/>
        <w:overflowPunct w:val="0"/>
        <w:topLinePunct/>
        <w:spacing w:before="0" w:beforeAutospacing="0" w:after="0" w:afterAutospacing="0" w:line="360" w:lineRule="auto"/>
        <w:ind w:firstLine="640"/>
        <w:rPr>
          <w:rFonts w:ascii="仿宋" w:hAnsi="仿宋" w:eastAsia="仿宋"/>
          <w:color w:val="000000"/>
        </w:rPr>
      </w:pPr>
      <w:r>
        <w:rPr>
          <w:rFonts w:hint="eastAsia" w:ascii="仿宋" w:hAnsi="仿宋" w:eastAsia="仿宋"/>
          <w:color w:val="000000"/>
          <w:sz w:val="32"/>
          <w:szCs w:val="32"/>
        </w:rPr>
        <w:t>二、机构设置情况</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第二部分 2020年部门预算情况说明</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第三部分 名词解释</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p>
    <w:p>
      <w:pPr>
        <w:pStyle w:val="6"/>
        <w:overflowPunct w:val="0"/>
        <w:topLinePunct/>
        <w:spacing w:before="0" w:beforeAutospacing="0" w:after="0" w:afterAutospacing="0" w:line="360" w:lineRule="auto"/>
        <w:ind w:firstLine="640"/>
        <w:jc w:val="both"/>
        <w:rPr>
          <w:rFonts w:hint="eastAsia" w:ascii="黑体" w:hAnsi="黑体" w:eastAsia="黑体"/>
          <w:sz w:val="32"/>
          <w:szCs w:val="32"/>
        </w:rPr>
      </w:pPr>
      <w:r>
        <w:rPr>
          <w:rFonts w:hint="eastAsia" w:ascii="黑体" w:hAnsi="黑体" w:eastAsia="黑体"/>
          <w:color w:val="000000"/>
          <w:sz w:val="32"/>
          <w:szCs w:val="32"/>
        </w:rPr>
        <w:t>附件：</w:t>
      </w:r>
      <w:r>
        <w:rPr>
          <w:rFonts w:hint="eastAsia" w:ascii="黑体" w:hAnsi="黑体" w:eastAsia="黑体"/>
          <w:sz w:val="32"/>
          <w:szCs w:val="32"/>
        </w:rPr>
        <w:t>中共濮阳市华龙区委机构编制委员会办公室</w:t>
      </w: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sz w:val="32"/>
          <w:szCs w:val="32"/>
          <w:lang w:val="en-US" w:eastAsia="zh-CN"/>
        </w:rPr>
        <w:t xml:space="preserve">      </w:t>
      </w:r>
      <w:r>
        <w:rPr>
          <w:rFonts w:hint="eastAsia" w:ascii="黑体" w:hAnsi="黑体" w:eastAsia="黑体"/>
          <w:color w:val="000000"/>
          <w:sz w:val="32"/>
          <w:szCs w:val="32"/>
        </w:rPr>
        <w:t>2020年部门预算表</w:t>
      </w:r>
    </w:p>
    <w:p>
      <w:pPr>
        <w:pStyle w:val="6"/>
        <w:overflowPunct w:val="0"/>
        <w:topLinePunct/>
        <w:spacing w:before="0" w:beforeAutospacing="0" w:after="0" w:afterAutospacing="0" w:line="360" w:lineRule="auto"/>
        <w:ind w:firstLine="640"/>
        <w:rPr>
          <w:rFonts w:ascii="仿宋" w:hAnsi="仿宋" w:eastAsia="仿宋"/>
          <w:color w:val="000000"/>
        </w:rPr>
      </w:pPr>
      <w:r>
        <w:rPr>
          <w:rFonts w:hint="eastAsia" w:ascii="仿宋" w:hAnsi="仿宋" w:eastAsia="仿宋"/>
          <w:color w:val="000000"/>
          <w:sz w:val="32"/>
          <w:szCs w:val="32"/>
        </w:rPr>
        <w:t>一、部门收支总表</w:t>
      </w:r>
    </w:p>
    <w:p>
      <w:pPr>
        <w:pStyle w:val="6"/>
        <w:overflowPunct w:val="0"/>
        <w:topLinePunct/>
        <w:spacing w:before="0" w:beforeAutospacing="0" w:after="0" w:afterAutospacing="0" w:line="360" w:lineRule="auto"/>
        <w:ind w:firstLine="640"/>
        <w:rPr>
          <w:rFonts w:ascii="仿宋" w:hAnsi="仿宋" w:eastAsia="仿宋"/>
          <w:color w:val="000000"/>
        </w:rPr>
      </w:pPr>
      <w:r>
        <w:rPr>
          <w:rFonts w:hint="eastAsia" w:ascii="仿宋" w:hAnsi="仿宋" w:eastAsia="仿宋"/>
          <w:color w:val="000000"/>
          <w:sz w:val="32"/>
          <w:szCs w:val="32"/>
        </w:rPr>
        <w:t>二、部门收入总表</w:t>
      </w:r>
    </w:p>
    <w:p>
      <w:pPr>
        <w:pStyle w:val="6"/>
        <w:overflowPunct w:val="0"/>
        <w:topLinePunct/>
        <w:spacing w:before="0" w:beforeAutospacing="0" w:after="0" w:afterAutospacing="0" w:line="360" w:lineRule="auto"/>
        <w:ind w:firstLine="640"/>
        <w:rPr>
          <w:rFonts w:ascii="仿宋" w:hAnsi="仿宋" w:eastAsia="仿宋"/>
          <w:color w:val="000000"/>
        </w:rPr>
      </w:pPr>
      <w:r>
        <w:rPr>
          <w:rFonts w:hint="eastAsia" w:ascii="仿宋" w:hAnsi="仿宋" w:eastAsia="仿宋"/>
          <w:color w:val="000000"/>
          <w:sz w:val="32"/>
          <w:szCs w:val="32"/>
        </w:rPr>
        <w:t>三、部门支出总表</w:t>
      </w:r>
    </w:p>
    <w:p>
      <w:pPr>
        <w:pStyle w:val="6"/>
        <w:overflowPunct w:val="0"/>
        <w:topLinePunct/>
        <w:spacing w:before="0" w:beforeAutospacing="0" w:after="0" w:afterAutospacing="0" w:line="360" w:lineRule="auto"/>
        <w:ind w:firstLine="640"/>
        <w:rPr>
          <w:rFonts w:ascii="仿宋" w:hAnsi="仿宋" w:eastAsia="仿宋"/>
          <w:color w:val="000000"/>
        </w:rPr>
      </w:pPr>
      <w:r>
        <w:rPr>
          <w:rFonts w:hint="eastAsia" w:ascii="仿宋" w:hAnsi="仿宋" w:eastAsia="仿宋"/>
          <w:color w:val="000000"/>
          <w:sz w:val="32"/>
          <w:szCs w:val="32"/>
        </w:rPr>
        <w:t>四、财政拨款收支总表</w:t>
      </w:r>
    </w:p>
    <w:p>
      <w:pPr>
        <w:pStyle w:val="6"/>
        <w:overflowPunct w:val="0"/>
        <w:topLinePunct/>
        <w:spacing w:before="0" w:beforeAutospacing="0" w:after="0" w:afterAutospacing="0" w:line="360" w:lineRule="auto"/>
        <w:ind w:firstLine="640"/>
        <w:rPr>
          <w:rFonts w:ascii="仿宋" w:hAnsi="仿宋" w:eastAsia="仿宋"/>
          <w:color w:val="000000"/>
        </w:rPr>
      </w:pPr>
      <w:r>
        <w:rPr>
          <w:rFonts w:hint="eastAsia" w:ascii="仿宋" w:hAnsi="仿宋" w:eastAsia="仿宋"/>
          <w:color w:val="000000"/>
          <w:sz w:val="32"/>
          <w:szCs w:val="32"/>
        </w:rPr>
        <w:t>五、一般公共预算支出表</w:t>
      </w:r>
    </w:p>
    <w:p>
      <w:pPr>
        <w:pStyle w:val="6"/>
        <w:overflowPunct w:val="0"/>
        <w:topLinePunct/>
        <w:spacing w:before="0" w:beforeAutospacing="0" w:after="0" w:afterAutospacing="0" w:line="360" w:lineRule="auto"/>
        <w:ind w:firstLine="640"/>
        <w:rPr>
          <w:rFonts w:ascii="仿宋" w:hAnsi="仿宋" w:eastAsia="仿宋"/>
          <w:color w:val="000000"/>
        </w:rPr>
      </w:pPr>
      <w:r>
        <w:rPr>
          <w:rFonts w:hint="eastAsia" w:ascii="仿宋" w:hAnsi="仿宋" w:eastAsia="仿宋"/>
          <w:color w:val="000000"/>
          <w:sz w:val="32"/>
          <w:szCs w:val="32"/>
        </w:rPr>
        <w:t>六、一般公共预算基本支出表</w:t>
      </w:r>
    </w:p>
    <w:p>
      <w:pPr>
        <w:pStyle w:val="6"/>
        <w:overflowPunct w:val="0"/>
        <w:topLinePunct/>
        <w:spacing w:before="0" w:beforeAutospacing="0" w:after="0" w:afterAutospacing="0" w:line="360" w:lineRule="auto"/>
        <w:ind w:firstLine="640"/>
        <w:rPr>
          <w:rFonts w:ascii="仿宋" w:hAnsi="仿宋" w:eastAsia="仿宋"/>
          <w:color w:val="000000"/>
        </w:rPr>
      </w:pPr>
      <w:r>
        <w:rPr>
          <w:rFonts w:hint="eastAsia" w:ascii="仿宋" w:hAnsi="仿宋" w:eastAsia="仿宋"/>
          <w:color w:val="000000"/>
          <w:sz w:val="32"/>
          <w:szCs w:val="32"/>
        </w:rPr>
        <w:t>七、一般公共预算“三公”经费支出表</w:t>
      </w:r>
    </w:p>
    <w:p>
      <w:pPr>
        <w:pStyle w:val="6"/>
        <w:overflowPunct w:val="0"/>
        <w:topLinePunct/>
        <w:spacing w:before="0" w:beforeAutospacing="0" w:after="0" w:afterAutospacing="0" w:line="360" w:lineRule="auto"/>
        <w:ind w:firstLine="640"/>
        <w:rPr>
          <w:rFonts w:ascii="仿宋" w:hAnsi="仿宋" w:eastAsia="仿宋"/>
          <w:color w:val="000000"/>
        </w:rPr>
      </w:pPr>
      <w:r>
        <w:rPr>
          <w:rFonts w:hint="eastAsia" w:ascii="仿宋" w:hAnsi="仿宋" w:eastAsia="仿宋"/>
          <w:color w:val="000000"/>
          <w:sz w:val="32"/>
          <w:szCs w:val="32"/>
        </w:rPr>
        <w:t>八、政府性基金预算支出表</w:t>
      </w:r>
    </w:p>
    <w:p>
      <w:pPr>
        <w:ind w:firstLine="640" w:firstLineChars="200"/>
        <w:rPr>
          <w:rFonts w:ascii="黑体" w:hAnsi="黑体" w:eastAsia="黑体"/>
          <w:szCs w:val="32"/>
        </w:rPr>
      </w:pPr>
    </w:p>
    <w:p>
      <w:pPr>
        <w:rPr>
          <w:rFonts w:ascii="黑体" w:hAnsi="黑体" w:eastAsia="黑体"/>
          <w:szCs w:val="32"/>
        </w:rPr>
      </w:pPr>
      <w:r>
        <w:rPr>
          <w:rFonts w:ascii="黑体" w:hAnsi="黑体" w:eastAsia="黑体"/>
          <w:szCs w:val="32"/>
        </w:rPr>
        <w:br w:type="page"/>
      </w: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第一部分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部门概况</w:t>
      </w:r>
    </w:p>
    <w:p>
      <w:pPr>
        <w:ind w:firstLine="640" w:firstLineChars="200"/>
        <w:rPr>
          <w:rFonts w:ascii="黑体" w:hAnsi="黑体" w:eastAsia="黑体"/>
          <w:szCs w:val="32"/>
        </w:rPr>
      </w:pPr>
      <w:r>
        <w:rPr>
          <w:rFonts w:ascii="黑体" w:hAnsi="黑体" w:eastAsia="黑体"/>
          <w:szCs w:val="32"/>
        </w:rPr>
        <w:t> </w:t>
      </w:r>
    </w:p>
    <w:p>
      <w:pPr>
        <w:pStyle w:val="12"/>
        <w:numPr>
          <w:ilvl w:val="0"/>
          <w:numId w:val="1"/>
        </w:numPr>
        <w:ind w:firstLineChars="0"/>
        <w:rPr>
          <w:rFonts w:ascii="黑体" w:hAnsi="黑体" w:eastAsia="黑体"/>
          <w:szCs w:val="32"/>
        </w:rPr>
      </w:pPr>
      <w:r>
        <w:rPr>
          <w:rFonts w:hint="eastAsia" w:ascii="黑体" w:hAnsi="黑体" w:eastAsia="黑体"/>
          <w:szCs w:val="32"/>
        </w:rPr>
        <w:t>部门主要职责</w:t>
      </w:r>
    </w:p>
    <w:p>
      <w:pPr>
        <w:spacing w:line="586" w:lineRule="atLeast"/>
        <w:ind w:firstLine="640" w:firstLineChars="200"/>
        <w:textAlignment w:val="center"/>
        <w:rPr>
          <w:rFonts w:ascii="仿宋" w:hAnsi="仿宋" w:eastAsia="仿宋" w:cs="Times New Roman"/>
          <w:color w:val="000000"/>
        </w:rPr>
      </w:pPr>
      <w:r>
        <w:rPr>
          <w:rFonts w:hint="eastAsia" w:ascii="仿宋" w:hAnsi="仿宋" w:eastAsia="仿宋" w:cs="Times New Roman"/>
          <w:color w:val="000000"/>
        </w:rPr>
        <w:t>围绕创新体制机制、服务科学发展，充分发挥综合性管理机构的作用，按照改革、管理、法制化协调推进的工作格局，切实履行推进行政管理体制改革和机构改革的职能，强化机构编制管理。通过科学配置职能、合理设置机构、完善运行机制、创新管理方式，提高行政效能，不断优化机构编制资源配置，为促进我区经济社会科学发展提供体制机制保障。</w:t>
      </w:r>
    </w:p>
    <w:p>
      <w:pPr>
        <w:spacing w:line="586" w:lineRule="atLeast"/>
        <w:ind w:firstLine="480" w:firstLineChars="150"/>
        <w:textAlignment w:val="center"/>
        <w:rPr>
          <w:rFonts w:ascii="仿宋" w:hAnsi="仿宋" w:eastAsia="仿宋" w:cs="Times New Roman"/>
          <w:color w:val="000000"/>
        </w:rPr>
      </w:pPr>
      <w:r>
        <w:rPr>
          <w:rFonts w:hint="eastAsia" w:ascii="仿宋" w:hAnsi="仿宋" w:eastAsia="仿宋" w:cs="Times New Roman"/>
          <w:color w:val="000000"/>
        </w:rPr>
        <w:t>（一）贯彻执行党和国家、省、市有关行政管理体制改革和机构改革以及机构编制管理的方针政策、法律法规；根据党和国家、省、市机构编制管理的方针政策、法律法规和地方性法规拟订相关规范性文件。推进机构编制管理科学化、规范化、法制化建设。</w:t>
      </w:r>
    </w:p>
    <w:p>
      <w:pPr>
        <w:spacing w:line="586" w:lineRule="atLeast"/>
        <w:ind w:firstLine="480" w:firstLineChars="150"/>
        <w:textAlignment w:val="center"/>
        <w:rPr>
          <w:rFonts w:ascii="仿宋" w:hAnsi="仿宋" w:eastAsia="仿宋" w:cs="Times New Roman"/>
          <w:color w:val="000000"/>
        </w:rPr>
      </w:pPr>
      <w:r>
        <w:rPr>
          <w:rFonts w:hint="eastAsia" w:ascii="仿宋" w:hAnsi="仿宋" w:eastAsia="仿宋" w:cs="Times New Roman"/>
          <w:color w:val="000000"/>
        </w:rPr>
        <w:t>（二）研究行政管理体制改革、机构改革、事业单位分类改革和相关领域涉及行政管理体制改革的重大问题；协调有关专项改革事宜。</w:t>
      </w:r>
    </w:p>
    <w:p>
      <w:pPr>
        <w:spacing w:line="586" w:lineRule="atLeast"/>
        <w:ind w:firstLine="480" w:firstLineChars="150"/>
        <w:textAlignment w:val="center"/>
        <w:rPr>
          <w:rFonts w:ascii="仿宋" w:hAnsi="仿宋" w:eastAsia="仿宋" w:cs="Times New Roman"/>
          <w:color w:val="000000"/>
        </w:rPr>
      </w:pPr>
      <w:r>
        <w:rPr>
          <w:rFonts w:hint="eastAsia" w:ascii="仿宋" w:hAnsi="仿宋" w:eastAsia="仿宋" w:cs="Times New Roman"/>
          <w:color w:val="000000"/>
        </w:rPr>
        <w:t>（三）拟订全区行政管理体制改革和机构改革的总体方案，经批准后组织实施；审核区委、区政府各部门和乡（办）机构改革方案。</w:t>
      </w:r>
    </w:p>
    <w:p>
      <w:pPr>
        <w:spacing w:line="586" w:lineRule="atLeast"/>
        <w:ind w:firstLine="480" w:firstLineChars="150"/>
        <w:textAlignment w:val="center"/>
        <w:rPr>
          <w:rFonts w:ascii="仿宋" w:hAnsi="仿宋" w:eastAsia="仿宋" w:cs="Times New Roman"/>
          <w:color w:val="000000"/>
        </w:rPr>
      </w:pPr>
      <w:r>
        <w:rPr>
          <w:rFonts w:hint="eastAsia" w:ascii="仿宋" w:hAnsi="仿宋" w:eastAsia="仿宋" w:cs="Times New Roman"/>
          <w:color w:val="000000"/>
        </w:rPr>
        <w:t>（四）统一管理全区各级党政机关，人大、政协机关，法院、检察院机关，民主党派、人民团体和群众团体机关的机构编制工作。</w:t>
      </w:r>
    </w:p>
    <w:p>
      <w:pPr>
        <w:spacing w:line="586" w:lineRule="atLeast"/>
        <w:ind w:firstLine="480" w:firstLineChars="150"/>
        <w:textAlignment w:val="center"/>
        <w:rPr>
          <w:rFonts w:ascii="仿宋" w:hAnsi="仿宋" w:eastAsia="仿宋" w:cs="Times New Roman"/>
          <w:color w:val="000000"/>
        </w:rPr>
      </w:pPr>
      <w:r>
        <w:rPr>
          <w:rFonts w:hint="eastAsia" w:ascii="仿宋" w:hAnsi="仿宋" w:eastAsia="仿宋" w:cs="Times New Roman"/>
          <w:color w:val="000000"/>
        </w:rPr>
        <w:t>（五）协调区委、区政府各部门的职责配置及调整，协调区委、区政府各部门之间的职责分工。</w:t>
      </w:r>
    </w:p>
    <w:p>
      <w:pPr>
        <w:spacing w:line="586" w:lineRule="atLeast"/>
        <w:ind w:firstLine="480" w:firstLineChars="150"/>
        <w:textAlignment w:val="center"/>
        <w:rPr>
          <w:rFonts w:ascii="仿宋" w:hAnsi="仿宋" w:eastAsia="仿宋" w:cs="Times New Roman"/>
          <w:color w:val="000000"/>
        </w:rPr>
      </w:pPr>
      <w:r>
        <w:rPr>
          <w:rFonts w:hint="eastAsia" w:ascii="仿宋" w:hAnsi="仿宋" w:eastAsia="仿宋" w:cs="Times New Roman"/>
          <w:color w:val="000000"/>
        </w:rPr>
        <w:t>（六）审核区委、区政府各部门，区人大、区政协机关，区法院、区检察院机关，区民主党派、区人民团体、区群众团体机关，区委、区政府派出机构的主要职责、内设机构、人员编制和领导职数。</w:t>
      </w:r>
    </w:p>
    <w:p>
      <w:pPr>
        <w:spacing w:line="586" w:lineRule="atLeast"/>
        <w:ind w:firstLine="480" w:firstLineChars="150"/>
        <w:textAlignment w:val="center"/>
        <w:rPr>
          <w:rFonts w:ascii="仿宋" w:hAnsi="仿宋" w:eastAsia="仿宋" w:cs="Times New Roman"/>
          <w:color w:val="000000"/>
        </w:rPr>
      </w:pPr>
      <w:r>
        <w:rPr>
          <w:rFonts w:hint="eastAsia" w:ascii="仿宋" w:hAnsi="仿宋" w:eastAsia="仿宋" w:cs="Times New Roman"/>
          <w:color w:val="000000"/>
        </w:rPr>
        <w:t>（七）拟订全区事业单位管理体制改革和机构改革方案，经批准后组织实施；负责全区事业单位机构改革方案的审核和机构编制管理工作；拟订全区事业单位人员编制总量控制办法；贯彻落实中央、省、市规定的事业单位机构编制标准和人员结构比例，研究拟定我区实施办法。</w:t>
      </w:r>
    </w:p>
    <w:p>
      <w:pPr>
        <w:spacing w:line="586" w:lineRule="atLeast"/>
        <w:ind w:firstLine="480" w:firstLineChars="150"/>
        <w:textAlignment w:val="center"/>
        <w:rPr>
          <w:rFonts w:ascii="仿宋" w:hAnsi="仿宋" w:eastAsia="仿宋" w:cs="Times New Roman"/>
          <w:color w:val="000000"/>
        </w:rPr>
      </w:pPr>
      <w:r>
        <w:rPr>
          <w:rFonts w:hint="eastAsia" w:ascii="仿宋" w:hAnsi="仿宋" w:eastAsia="仿宋" w:cs="Times New Roman"/>
          <w:color w:val="000000"/>
        </w:rPr>
        <w:t>（八）监督检查全区各级行政管理体制改革、机构改革和机构编制方针政策、法律法规的执行情况；开展机构编制执行情况评估工作。</w:t>
      </w:r>
    </w:p>
    <w:p>
      <w:pPr>
        <w:spacing w:line="586" w:lineRule="atLeast"/>
        <w:ind w:firstLine="480" w:firstLineChars="150"/>
        <w:textAlignment w:val="center"/>
        <w:rPr>
          <w:rFonts w:ascii="仿宋" w:hAnsi="仿宋" w:eastAsia="仿宋" w:cs="Times New Roman"/>
          <w:color w:val="000000"/>
        </w:rPr>
      </w:pPr>
      <w:r>
        <w:rPr>
          <w:rFonts w:hint="eastAsia" w:ascii="仿宋" w:hAnsi="仿宋" w:eastAsia="仿宋" w:cs="Times New Roman"/>
          <w:color w:val="000000"/>
        </w:rPr>
        <w:t>（九）建立健全机构编制管理与财政预算、组织人事管理的配合制约机制；推进机构编制实名制管理，负责全区行政机关、事业单位进人编制审核工作；负责全区机构编制统计和省、市下达专项编制的分配工作。</w:t>
      </w:r>
    </w:p>
    <w:p>
      <w:pPr>
        <w:spacing w:line="586" w:lineRule="atLeast"/>
        <w:ind w:firstLine="480" w:firstLineChars="150"/>
        <w:textAlignment w:val="center"/>
        <w:rPr>
          <w:rFonts w:ascii="仿宋" w:hAnsi="仿宋" w:eastAsia="仿宋" w:cs="Times New Roman"/>
          <w:color w:val="000000"/>
        </w:rPr>
      </w:pPr>
      <w:r>
        <w:rPr>
          <w:rFonts w:hint="eastAsia" w:ascii="仿宋" w:hAnsi="仿宋" w:eastAsia="仿宋" w:cs="Times New Roman"/>
          <w:color w:val="000000"/>
        </w:rPr>
        <w:t>（十）负责全区行政审批制度改革的组织实施工作。</w:t>
      </w:r>
    </w:p>
    <w:p>
      <w:pPr>
        <w:spacing w:line="586" w:lineRule="atLeast"/>
        <w:ind w:firstLine="480" w:firstLineChars="150"/>
        <w:textAlignment w:val="center"/>
        <w:rPr>
          <w:rFonts w:ascii="仿宋" w:hAnsi="仿宋" w:eastAsia="仿宋" w:cs="Times New Roman"/>
          <w:color w:val="000000"/>
        </w:rPr>
      </w:pPr>
      <w:r>
        <w:rPr>
          <w:rFonts w:hint="eastAsia" w:ascii="仿宋" w:hAnsi="仿宋" w:eastAsia="仿宋" w:cs="Times New Roman"/>
          <w:color w:val="000000"/>
        </w:rPr>
        <w:t>（十一）贯彻执行国家、省、市关于事业单位登记管理的法律、法规、规章和政策；研究拟定事业单位登记管理规范性文件，负责全区事业单位登记管理工作。</w:t>
      </w:r>
    </w:p>
    <w:p>
      <w:pPr>
        <w:spacing w:line="586" w:lineRule="atLeast"/>
        <w:ind w:firstLine="480" w:firstLineChars="150"/>
        <w:textAlignment w:val="center"/>
        <w:rPr>
          <w:rFonts w:ascii="仿宋" w:hAnsi="仿宋" w:eastAsia="仿宋" w:cs="Times New Roman"/>
          <w:color w:val="000000"/>
        </w:rPr>
      </w:pPr>
      <w:r>
        <w:rPr>
          <w:rFonts w:hint="eastAsia" w:ascii="仿宋" w:hAnsi="仿宋" w:eastAsia="仿宋" w:cs="Times New Roman"/>
          <w:color w:val="000000"/>
        </w:rPr>
        <w:t>（十二）负责全区机构编制信息管理系统、电子政务和信息化建设工作。</w:t>
      </w:r>
    </w:p>
    <w:p>
      <w:pPr>
        <w:spacing w:line="586" w:lineRule="atLeast"/>
        <w:ind w:firstLine="480" w:firstLineChars="150"/>
        <w:textAlignment w:val="center"/>
        <w:rPr>
          <w:rFonts w:ascii="仿宋" w:hAnsi="仿宋" w:eastAsia="仿宋" w:cs="Times New Roman"/>
          <w:color w:val="000000"/>
        </w:rPr>
      </w:pPr>
      <w:r>
        <w:rPr>
          <w:rFonts w:hint="eastAsia" w:ascii="仿宋" w:hAnsi="仿宋" w:eastAsia="仿宋" w:cs="Times New Roman"/>
          <w:color w:val="000000"/>
        </w:rPr>
        <w:t>（十三）承办区委、区政府和区机构编制委员会交办的其他事项。</w:t>
      </w:r>
    </w:p>
    <w:p>
      <w:pPr>
        <w:ind w:firstLine="640" w:firstLineChars="200"/>
        <w:rPr>
          <w:rFonts w:ascii="黑体" w:hAnsi="黑体" w:eastAsia="黑体"/>
          <w:szCs w:val="32"/>
        </w:rPr>
      </w:pPr>
      <w:r>
        <w:rPr>
          <w:rFonts w:hint="eastAsia" w:ascii="黑体" w:hAnsi="黑体" w:eastAsia="黑体"/>
          <w:szCs w:val="32"/>
        </w:rPr>
        <w:t>二、机构设置情况</w:t>
      </w:r>
    </w:p>
    <w:p>
      <w:pPr>
        <w:spacing w:line="586" w:lineRule="atLeast"/>
        <w:ind w:firstLine="639"/>
        <w:textAlignment w:val="center"/>
        <w:rPr>
          <w:rFonts w:ascii="仿宋" w:hAnsi="仿宋" w:eastAsia="仿宋" w:cs="Times New Roman"/>
          <w:color w:val="000000"/>
          <w:spacing w:val="-3"/>
        </w:rPr>
      </w:pPr>
      <w:r>
        <w:rPr>
          <w:rFonts w:hint="eastAsia" w:ascii="仿宋" w:hAnsi="仿宋" w:eastAsia="仿宋" w:cs="Times New Roman"/>
          <w:color w:val="000000"/>
          <w:spacing w:val="-3"/>
        </w:rPr>
        <w:t>根据上述职责，区委机构编制办公室设３个内设机构。</w:t>
      </w:r>
    </w:p>
    <w:p>
      <w:pPr>
        <w:spacing w:line="586" w:lineRule="atLeast"/>
        <w:ind w:firstLine="639"/>
        <w:textAlignment w:val="center"/>
        <w:rPr>
          <w:rFonts w:ascii="楷体_GB2312" w:hAnsi="楷体_GB2312" w:eastAsia="楷体_GB2312" w:cs="Times New Roman"/>
          <w:color w:val="000000"/>
        </w:rPr>
      </w:pPr>
      <w:r>
        <w:rPr>
          <w:rFonts w:hint="eastAsia" w:ascii="楷体_GB2312" w:hAnsi="楷体_GB2312" w:eastAsia="楷体_GB2312" w:cs="Times New Roman"/>
          <w:color w:val="000000"/>
        </w:rPr>
        <w:t>（一）综合股</w:t>
      </w:r>
    </w:p>
    <w:p>
      <w:pPr>
        <w:spacing w:line="586" w:lineRule="atLeast"/>
        <w:ind w:firstLine="639"/>
        <w:textAlignment w:val="center"/>
        <w:rPr>
          <w:rFonts w:hAnsi="仿宋_GB2312" w:cs="Times New Roman"/>
          <w:color w:val="000000"/>
        </w:rPr>
      </w:pPr>
      <w:r>
        <w:rPr>
          <w:rFonts w:hint="eastAsia" w:ascii="仿宋" w:hAnsi="仿宋" w:eastAsia="仿宋" w:cs="Times New Roman"/>
          <w:color w:val="000000"/>
        </w:rPr>
        <w:t>协助编办领导处理日常工作，负责综合协调和督办工作；负责文电、会务、机要、保密、档案等机关日常运转工作；负责综合性文稿起草、公文核稿、政务信息、宣传工作；负责财务管理、后勤服务、公务接待和固定资产管理等有关行政事务性工作；承担机关和直属单位的精神文明建设；组织拟定全区机构编制管理政策规定，协调推进机构编制管理科学化、规范化、法制化建设；承担有关规范性文件的合法性审核和地方性法规、规章等征求意见的回复工作。负责机关和直属单位的党务、纪检、人事管理、机构编制、机关建设、工青妇、计划生育工作；负责机关和所属单位离退休干部管理和服务工作。</w:t>
      </w:r>
    </w:p>
    <w:p>
      <w:pPr>
        <w:spacing w:line="586" w:lineRule="atLeast"/>
        <w:ind w:firstLine="639"/>
        <w:textAlignment w:val="center"/>
        <w:rPr>
          <w:rFonts w:ascii="楷体_GB2312" w:hAnsi="楷体_GB2312" w:eastAsia="楷体_GB2312" w:cs="Times New Roman"/>
          <w:color w:val="000000"/>
        </w:rPr>
      </w:pPr>
      <w:r>
        <w:rPr>
          <w:rFonts w:hint="eastAsia" w:ascii="楷体_GB2312" w:hAnsi="楷体_GB2312" w:eastAsia="楷体_GB2312" w:cs="Times New Roman"/>
          <w:color w:val="000000"/>
        </w:rPr>
        <w:t>（二）机构编制管理股（事业单位登记管理股）</w:t>
      </w:r>
    </w:p>
    <w:p>
      <w:pPr>
        <w:spacing w:line="586" w:lineRule="atLeast"/>
        <w:ind w:firstLine="639"/>
        <w:textAlignment w:val="center"/>
        <w:rPr>
          <w:rFonts w:ascii="仿宋" w:hAnsi="仿宋" w:eastAsia="仿宋" w:cs="Times New Roman"/>
          <w:color w:val="000000"/>
        </w:rPr>
      </w:pPr>
      <w:r>
        <w:rPr>
          <w:rFonts w:hint="eastAsia" w:ascii="仿宋" w:hAnsi="仿宋" w:eastAsia="仿宋" w:cs="Times New Roman"/>
          <w:color w:val="000000"/>
        </w:rPr>
        <w:t>研究全区行政管理体制改革、机构改革和相关领域涉及行政管理体制改革的重大问题；负责研究拟订全区行政管理体制改革、行政机关机构改革方案并组织实施；审核全区行政机关“三定”规定；负责全区行政机关机构编制管理工作；负责全区政法编制、军队转业干部编制等专项编制的管理工作；承担行政审批制度改革的具体工作。</w:t>
      </w:r>
    </w:p>
    <w:p>
      <w:pPr>
        <w:spacing w:line="586" w:lineRule="atLeast"/>
        <w:ind w:firstLine="639"/>
        <w:textAlignment w:val="center"/>
        <w:rPr>
          <w:rFonts w:ascii="仿宋" w:hAnsi="仿宋" w:eastAsia="仿宋"/>
          <w:szCs w:val="32"/>
        </w:rPr>
      </w:pPr>
      <w:r>
        <w:rPr>
          <w:rFonts w:hint="eastAsia" w:ascii="仿宋" w:hAnsi="仿宋" w:eastAsia="仿宋"/>
          <w:szCs w:val="32"/>
        </w:rPr>
        <w:t>研究拟订全区事业单位管理体制改革和机构改革方案及机构编制管理政策规定，负责事业单位改革和管理的具体工作；拟订全区事业单位人员编制总量控制办法；贯彻落实中央、省、市规定的事业单位机构编制标准和人员结构比例，研究拟定我区实施办法；审核全区事业单位的机构编制方案；负责参照公务员法管理事业单位职责的审核工作；审核全区股级事业单位机构设置；负责全区事业单位军队转业干部编制的审核管理工作。</w:t>
      </w:r>
    </w:p>
    <w:p>
      <w:pPr>
        <w:spacing w:line="586" w:lineRule="atLeast"/>
        <w:ind w:firstLine="639"/>
        <w:textAlignment w:val="center"/>
        <w:rPr>
          <w:rFonts w:ascii="仿宋" w:hAnsi="仿宋" w:eastAsia="仿宋"/>
          <w:szCs w:val="32"/>
        </w:rPr>
      </w:pPr>
      <w:r>
        <w:rPr>
          <w:rFonts w:hint="eastAsia" w:ascii="仿宋" w:hAnsi="仿宋" w:eastAsia="仿宋"/>
          <w:szCs w:val="32"/>
        </w:rPr>
        <w:t>贯彻执行国家、省、市关于事业单位登记管理的法律、法规、规章和政策；拟定事业单位登记管理相关规范性文件；负责全区事业单位登记管理工作，依法保护事业单位法人与登记事项的合法权益，依法查处事业单位违法违规行为。</w:t>
      </w:r>
    </w:p>
    <w:p>
      <w:pPr>
        <w:spacing w:line="586" w:lineRule="atLeast"/>
        <w:ind w:firstLine="639"/>
        <w:textAlignment w:val="center"/>
        <w:rPr>
          <w:rFonts w:ascii="仿宋" w:hAnsi="仿宋" w:eastAsia="仿宋"/>
          <w:szCs w:val="32"/>
        </w:rPr>
      </w:pPr>
      <w:r>
        <w:rPr>
          <w:rFonts w:hint="eastAsia" w:ascii="仿宋" w:hAnsi="仿宋" w:eastAsia="仿宋"/>
          <w:szCs w:val="32"/>
        </w:rPr>
        <w:t>负责全区机构编制统计工作；负责全区机构编制数据的综合分析利用工作，拟定宏观管理意见和建议；研究拟订机构编制管理与财政预算管理、组织人事管理配合协调机制的政策措施并组织实施；负责全区机构编制实名制动态管理工作；负责全区行政机关、事业单位的编制审核和人员入（减）编审核工作；负责全区补充国家公务员用编审核和事业单位补充工作人员用编审核和入编审批工作；负责全区机构编制管理信息系统的维护管理工作。</w:t>
      </w:r>
    </w:p>
    <w:p>
      <w:pPr>
        <w:spacing w:line="586" w:lineRule="atLeast"/>
        <w:ind w:firstLine="639"/>
        <w:textAlignment w:val="center"/>
        <w:rPr>
          <w:rFonts w:ascii="楷体_GB2312" w:hAnsi="楷体_GB2312" w:eastAsia="楷体_GB2312" w:cs="Times New Roman"/>
          <w:color w:val="000000"/>
        </w:rPr>
      </w:pPr>
      <w:r>
        <w:rPr>
          <w:rFonts w:hint="eastAsia" w:ascii="楷体_GB2312" w:hAnsi="楷体_GB2312" w:eastAsia="楷体_GB2312" w:cs="Times New Roman"/>
          <w:color w:val="000000"/>
        </w:rPr>
        <w:t>（三）机构编制监督检查股</w:t>
      </w:r>
    </w:p>
    <w:p>
      <w:pPr>
        <w:spacing w:line="586" w:lineRule="atLeast"/>
        <w:ind w:firstLine="639"/>
        <w:textAlignment w:val="center"/>
        <w:rPr>
          <w:rFonts w:ascii="仿宋" w:hAnsi="仿宋" w:eastAsia="仿宋"/>
          <w:szCs w:val="32"/>
        </w:rPr>
      </w:pPr>
      <w:r>
        <w:rPr>
          <w:rFonts w:hint="eastAsia" w:ascii="仿宋" w:hAnsi="仿宋" w:eastAsia="仿宋"/>
          <w:szCs w:val="32"/>
        </w:rPr>
        <w:t>负责监督检查全区各级各部门贯彻执行机构编制法律法规和政策规定的情况；负责受理违反机构编制法律法规、政策规定、纪律的检举和投诉，负责机构编制信访工作和“</w:t>
      </w:r>
      <w:r>
        <w:rPr>
          <w:rFonts w:ascii="仿宋" w:hAnsi="仿宋" w:eastAsia="仿宋"/>
          <w:szCs w:val="32"/>
        </w:rPr>
        <w:t>12310</w:t>
      </w:r>
      <w:r>
        <w:rPr>
          <w:rFonts w:hint="eastAsia" w:ascii="仿宋" w:hAnsi="仿宋" w:eastAsia="仿宋"/>
          <w:szCs w:val="32"/>
        </w:rPr>
        <w:t>”举报电话受理工作，调查核实违规违纪行为并提出处理意见；拟订机构编制执行情况评估的具体办法并组织实施；负责开展机构编制违规违纪行为预防教育，研究探索党政主要领导干部机构编制责任审计办法并组织实施；负责机构编制监督检查工作与纪检监察等部门间的协调配合。</w:t>
      </w:r>
    </w:p>
    <w:p>
      <w:pPr>
        <w:widowControl/>
        <w:jc w:val="left"/>
        <w:rPr>
          <w:rFonts w:hAnsi="仿宋_GB2312" w:cs="仿宋_GB2312"/>
          <w:color w:val="000000"/>
          <w:kern w:val="0"/>
          <w:szCs w:val="32"/>
          <w:highlight w:val="yellow"/>
        </w:rPr>
      </w:pPr>
    </w:p>
    <w:p>
      <w:pPr>
        <w:ind w:firstLine="640" w:firstLineChars="200"/>
        <w:rPr>
          <w:rFonts w:ascii="仿宋" w:hAnsi="仿宋" w:eastAsia="仿宋"/>
          <w:szCs w:val="32"/>
        </w:rPr>
      </w:pPr>
      <w:r>
        <w:rPr>
          <w:rFonts w:hint="eastAsia" w:ascii="仿宋" w:hAnsi="仿宋" w:eastAsia="仿宋"/>
          <w:szCs w:val="32"/>
        </w:rPr>
        <w:t>本部门无独立核算的下属预算单位，部门本级预算即汇总预算。</w:t>
      </w: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第二部分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2020年部门预算情况说明</w:t>
      </w:r>
    </w:p>
    <w:p>
      <w:pPr>
        <w:ind w:firstLine="640" w:firstLineChars="200"/>
        <w:rPr>
          <w:rFonts w:ascii="华文仿宋" w:hAnsi="华文仿宋" w:eastAsia="华文仿宋"/>
          <w:szCs w:val="32"/>
        </w:rPr>
      </w:pPr>
    </w:p>
    <w:p>
      <w:pPr>
        <w:ind w:firstLine="640" w:firstLineChars="200"/>
        <w:rPr>
          <w:rFonts w:ascii="黑体" w:hAnsi="黑体" w:eastAsia="黑体"/>
          <w:szCs w:val="32"/>
        </w:rPr>
      </w:pPr>
      <w:r>
        <w:rPr>
          <w:rFonts w:hint="eastAsia" w:ascii="黑体" w:hAnsi="黑体" w:eastAsia="黑体"/>
          <w:szCs w:val="32"/>
        </w:rPr>
        <w:t>一、本级预算和所属单位预算在内的汇总预算总体情况</w:t>
      </w:r>
    </w:p>
    <w:p>
      <w:pPr>
        <w:ind w:firstLine="640" w:firstLineChars="200"/>
        <w:rPr>
          <w:rFonts w:ascii="仿宋" w:hAnsi="仿宋" w:eastAsia="仿宋"/>
          <w:szCs w:val="32"/>
        </w:rPr>
      </w:pPr>
      <w:r>
        <w:rPr>
          <w:rFonts w:hint="eastAsia" w:ascii="仿宋" w:hAnsi="仿宋" w:eastAsia="仿宋"/>
          <w:szCs w:val="32"/>
        </w:rPr>
        <w:t>本部门无独立核算的下属预算单位，部门本级预算即汇总预算。</w:t>
      </w:r>
      <w:r>
        <w:rPr>
          <w:rFonts w:ascii="仿宋" w:hAnsi="仿宋" w:eastAsia="仿宋"/>
          <w:szCs w:val="32"/>
        </w:rPr>
        <w:t>20</w:t>
      </w:r>
      <w:r>
        <w:rPr>
          <w:rFonts w:hint="eastAsia" w:ascii="仿宋" w:hAnsi="仿宋" w:eastAsia="仿宋"/>
          <w:szCs w:val="32"/>
        </w:rPr>
        <w:t>20年本部门预算收入总计204.28万元，支出总计204.28万元。</w:t>
      </w:r>
    </w:p>
    <w:p>
      <w:pPr>
        <w:ind w:firstLine="640" w:firstLineChars="200"/>
        <w:rPr>
          <w:rFonts w:ascii="黑体" w:hAnsi="黑体" w:eastAsia="黑体"/>
          <w:szCs w:val="32"/>
        </w:rPr>
      </w:pPr>
      <w:r>
        <w:rPr>
          <w:rFonts w:hint="eastAsia" w:ascii="黑体" w:hAnsi="黑体" w:eastAsia="黑体"/>
          <w:szCs w:val="32"/>
        </w:rPr>
        <w:t>二、部门预算收支增减变动情况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20年本部门预算收入总计204.28万元，支出总计204.28万元。其中：基本支出185.28万元，占比91%，项目支出19万元，占比9%。</w:t>
      </w:r>
    </w:p>
    <w:p>
      <w:pPr>
        <w:ind w:firstLine="640" w:firstLineChars="200"/>
        <w:rPr>
          <w:rFonts w:ascii="仿宋" w:hAnsi="仿宋" w:eastAsia="仿宋"/>
          <w:szCs w:val="32"/>
        </w:rPr>
      </w:pPr>
      <w:r>
        <w:rPr>
          <w:rFonts w:hint="eastAsia" w:ascii="仿宋" w:hAnsi="仿宋" w:eastAsia="仿宋"/>
          <w:szCs w:val="32"/>
        </w:rPr>
        <w:t>2020年本部门预算</w:t>
      </w:r>
      <w:r>
        <w:rPr>
          <w:rFonts w:hint="eastAsia" w:ascii="仿宋" w:hAnsi="仿宋" w:eastAsia="仿宋" w:cs="仿宋"/>
          <w:sz w:val="32"/>
          <w:szCs w:val="32"/>
          <w:lang w:val="en-US" w:eastAsia="zh-CN"/>
        </w:rPr>
        <w:t>收入和支出均</w:t>
      </w:r>
      <w:bookmarkStart w:id="0" w:name="_GoBack"/>
      <w:bookmarkEnd w:id="0"/>
      <w:r>
        <w:rPr>
          <w:rFonts w:hint="eastAsia" w:ascii="仿宋" w:hAnsi="仿宋" w:eastAsia="仿宋"/>
          <w:szCs w:val="32"/>
        </w:rPr>
        <w:t>较上年减少1.15万元，减少1</w:t>
      </w:r>
      <w:r>
        <w:rPr>
          <w:rFonts w:ascii="仿宋" w:hAnsi="仿宋" w:eastAsia="仿宋"/>
          <w:szCs w:val="32"/>
        </w:rPr>
        <w:t>%</w:t>
      </w:r>
      <w:r>
        <w:rPr>
          <w:rFonts w:hint="eastAsia" w:ascii="仿宋" w:hAnsi="仿宋" w:eastAsia="仿宋"/>
          <w:szCs w:val="32"/>
        </w:rPr>
        <w:t>，主要原因人员变动。</w:t>
      </w:r>
    </w:p>
    <w:p>
      <w:pPr>
        <w:ind w:firstLine="640" w:firstLineChars="200"/>
        <w:rPr>
          <w:rFonts w:ascii="黑体" w:hAnsi="黑体" w:eastAsia="黑体"/>
          <w:szCs w:val="32"/>
        </w:rPr>
      </w:pPr>
      <w:r>
        <w:rPr>
          <w:rFonts w:hint="eastAsia" w:ascii="黑体" w:hAnsi="黑体" w:eastAsia="黑体"/>
          <w:szCs w:val="32"/>
        </w:rPr>
        <w:t>三、一般公共预算基本支出情况</w:t>
      </w:r>
    </w:p>
    <w:p>
      <w:pPr>
        <w:ind w:firstLine="640" w:firstLineChars="200"/>
        <w:rPr>
          <w:rFonts w:ascii="仿宋" w:hAnsi="仿宋" w:eastAsia="仿宋"/>
          <w:szCs w:val="32"/>
        </w:rPr>
      </w:pPr>
      <w:r>
        <w:rPr>
          <w:rFonts w:hint="eastAsia" w:ascii="仿宋" w:hAnsi="仿宋" w:eastAsia="仿宋"/>
          <w:szCs w:val="32"/>
        </w:rPr>
        <w:t>2020年本部门一般公共预算基本支出185.28万元，其中：人员经费176.48万元，主要包括：基本工资、津贴补贴、绩效工资、机关事业单位基本养老保险缴费、医疗保险缴费、其他社会保障缴费、住房公积金；公用经费8.8万元，主要包括：办公费、其他商品和服务支出</w:t>
      </w:r>
      <w:r>
        <w:rPr>
          <w:rFonts w:hint="eastAsia" w:ascii="仿宋" w:hAnsi="仿宋" w:eastAsia="仿宋"/>
          <w:szCs w:val="32"/>
          <w:lang w:val="en-US" w:eastAsia="zh-CN"/>
        </w:rPr>
        <w:t>等</w:t>
      </w:r>
      <w:r>
        <w:rPr>
          <w:rFonts w:hint="eastAsia" w:ascii="仿宋" w:hAnsi="仿宋" w:eastAsia="仿宋"/>
          <w:szCs w:val="32"/>
        </w:rPr>
        <w:t>。</w:t>
      </w:r>
    </w:p>
    <w:p>
      <w:pPr>
        <w:ind w:firstLine="640" w:firstLineChars="200"/>
        <w:rPr>
          <w:rFonts w:ascii="黑体" w:hAnsi="黑体" w:eastAsia="黑体"/>
          <w:szCs w:val="32"/>
        </w:rPr>
      </w:pPr>
      <w:r>
        <w:rPr>
          <w:rFonts w:hint="eastAsia" w:ascii="黑体" w:hAnsi="黑体" w:eastAsia="黑体"/>
          <w:szCs w:val="32"/>
        </w:rPr>
        <w:t>四、机关运行经费安排情况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20年本部门机关运行经费安排8.8万元，主要用于保障机关机构正常运转及正常履职需要的办公费、其他商品和服务支出</w:t>
      </w:r>
      <w:r>
        <w:rPr>
          <w:rFonts w:hint="eastAsia" w:ascii="仿宋" w:hAnsi="仿宋" w:eastAsia="仿宋"/>
          <w:szCs w:val="32"/>
          <w:lang w:val="en-US" w:eastAsia="zh-CN"/>
        </w:rPr>
        <w:t>等方面，与去年持平。</w:t>
      </w:r>
    </w:p>
    <w:p>
      <w:pPr>
        <w:ind w:firstLine="640" w:firstLineChars="200"/>
        <w:rPr>
          <w:rFonts w:ascii="黑体" w:hAnsi="黑体" w:eastAsia="黑体"/>
          <w:szCs w:val="32"/>
        </w:rPr>
      </w:pPr>
      <w:r>
        <w:rPr>
          <w:rFonts w:hint="eastAsia" w:ascii="黑体" w:hAnsi="黑体" w:eastAsia="黑体"/>
          <w:szCs w:val="32"/>
        </w:rPr>
        <w:t>五、“三公”经费安排情况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20年本部门“三公”经费预算0万元</w:t>
      </w:r>
      <w:r>
        <w:rPr>
          <w:rFonts w:hint="eastAsia" w:ascii="仿宋" w:hAnsi="仿宋" w:eastAsia="仿宋"/>
          <w:szCs w:val="32"/>
          <w:lang w:eastAsia="zh-CN"/>
        </w:rPr>
        <w:t>，</w:t>
      </w:r>
      <w:r>
        <w:rPr>
          <w:rFonts w:hint="eastAsia" w:ascii="仿宋" w:hAnsi="仿宋" w:eastAsia="仿宋"/>
          <w:szCs w:val="32"/>
          <w:lang w:val="en-US" w:eastAsia="zh-CN"/>
        </w:rPr>
        <w:t>与去年持平。</w:t>
      </w:r>
    </w:p>
    <w:p>
      <w:pPr>
        <w:ind w:firstLine="640" w:firstLineChars="200"/>
        <w:rPr>
          <w:rFonts w:ascii="仿宋" w:hAnsi="仿宋" w:eastAsia="仿宋"/>
          <w:szCs w:val="32"/>
        </w:rPr>
      </w:pPr>
      <w:r>
        <w:rPr>
          <w:rFonts w:hint="eastAsia" w:ascii="仿宋" w:hAnsi="仿宋" w:eastAsia="仿宋"/>
          <w:szCs w:val="32"/>
        </w:rPr>
        <w:t>1.因公出国（境）费0万元；</w:t>
      </w:r>
      <w:r>
        <w:rPr>
          <w:rFonts w:ascii="仿宋" w:hAnsi="仿宋" w:eastAsia="仿宋"/>
          <w:szCs w:val="32"/>
        </w:rPr>
        <w:t xml:space="preserve"> </w:t>
      </w:r>
    </w:p>
    <w:p>
      <w:pPr>
        <w:ind w:firstLine="640" w:firstLineChars="200"/>
        <w:rPr>
          <w:rFonts w:ascii="仿宋" w:hAnsi="仿宋" w:eastAsia="仿宋"/>
          <w:szCs w:val="32"/>
        </w:rPr>
      </w:pPr>
      <w:r>
        <w:rPr>
          <w:rFonts w:hint="eastAsia" w:ascii="仿宋" w:hAnsi="仿宋" w:eastAsia="仿宋"/>
          <w:szCs w:val="32"/>
        </w:rPr>
        <w:t>2.公务用车购置及运行费0万元，其中：公务用车购置0万元，公务用车运行费0万元。</w:t>
      </w:r>
    </w:p>
    <w:p>
      <w:pPr>
        <w:ind w:firstLine="640" w:firstLineChars="200"/>
        <w:rPr>
          <w:rFonts w:ascii="仿宋" w:hAnsi="仿宋" w:eastAsia="仿宋"/>
          <w:szCs w:val="32"/>
        </w:rPr>
      </w:pPr>
      <w:r>
        <w:rPr>
          <w:rFonts w:hint="eastAsia" w:ascii="仿宋" w:hAnsi="仿宋" w:eastAsia="仿宋"/>
          <w:szCs w:val="32"/>
        </w:rPr>
        <w:t>3.公务接待费0万元。</w:t>
      </w:r>
    </w:p>
    <w:p>
      <w:pPr>
        <w:ind w:firstLine="640" w:firstLineChars="200"/>
        <w:rPr>
          <w:rFonts w:ascii="仿宋" w:hAnsi="仿宋" w:eastAsia="仿宋"/>
          <w:szCs w:val="32"/>
        </w:rPr>
      </w:pPr>
      <w:r>
        <w:rPr>
          <w:rFonts w:hint="eastAsia" w:ascii="黑体" w:hAnsi="黑体" w:eastAsia="黑体"/>
          <w:szCs w:val="32"/>
        </w:rPr>
        <w:t>六、政府采购安排情况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20年本部门无政府采购预算安排。</w:t>
      </w:r>
    </w:p>
    <w:p>
      <w:pPr>
        <w:ind w:firstLine="640" w:firstLineChars="200"/>
        <w:rPr>
          <w:rFonts w:ascii="黑体" w:hAnsi="黑体" w:eastAsia="黑体"/>
          <w:szCs w:val="32"/>
        </w:rPr>
      </w:pPr>
      <w:r>
        <w:rPr>
          <w:rFonts w:hint="eastAsia" w:ascii="黑体" w:hAnsi="黑体" w:eastAsia="黑体"/>
          <w:szCs w:val="32"/>
        </w:rPr>
        <w:t>七、政府性基金预算安排情况</w:t>
      </w:r>
    </w:p>
    <w:p>
      <w:pPr>
        <w:ind w:firstLine="640" w:firstLineChars="200"/>
        <w:rPr>
          <w:rFonts w:ascii="仿宋" w:hAnsi="仿宋" w:eastAsia="仿宋"/>
          <w:szCs w:val="32"/>
        </w:rPr>
      </w:pPr>
      <w:r>
        <w:rPr>
          <w:rFonts w:hint="eastAsia" w:ascii="仿宋" w:hAnsi="仿宋" w:eastAsia="仿宋" w:cs="仿宋"/>
          <w:sz w:val="32"/>
          <w:szCs w:val="32"/>
          <w:lang w:val="en-US" w:eastAsia="zh-CN"/>
        </w:rPr>
        <w:t>本部门无政府性基金预算收支安排，较上年无变动。</w:t>
      </w:r>
    </w:p>
    <w:p>
      <w:pPr>
        <w:ind w:firstLine="640" w:firstLineChars="200"/>
        <w:rPr>
          <w:rFonts w:ascii="黑体" w:hAnsi="黑体" w:eastAsia="黑体"/>
          <w:szCs w:val="32"/>
        </w:rPr>
      </w:pPr>
      <w:r>
        <w:rPr>
          <w:rFonts w:hint="eastAsia" w:ascii="黑体" w:hAnsi="黑体" w:eastAsia="黑体"/>
          <w:szCs w:val="32"/>
        </w:rPr>
        <w:t>八、</w:t>
      </w:r>
      <w:r>
        <w:rPr>
          <w:rFonts w:ascii="黑体" w:hAnsi="黑体" w:eastAsia="黑体"/>
          <w:szCs w:val="32"/>
        </w:rPr>
        <w:t>国有资产占用情况</w:t>
      </w:r>
    </w:p>
    <w:p>
      <w:pPr>
        <w:ind w:firstLine="640" w:firstLineChars="200"/>
        <w:rPr>
          <w:rFonts w:ascii="仿宋" w:hAnsi="仿宋" w:eastAsia="仿宋"/>
          <w:szCs w:val="32"/>
        </w:rPr>
      </w:pPr>
      <w:r>
        <w:rPr>
          <w:rFonts w:ascii="仿宋" w:hAnsi="仿宋" w:eastAsia="仿宋"/>
          <w:szCs w:val="32"/>
        </w:rPr>
        <w:t>截止201</w:t>
      </w:r>
      <w:r>
        <w:rPr>
          <w:rFonts w:hint="eastAsia" w:ascii="仿宋" w:hAnsi="仿宋" w:eastAsia="仿宋"/>
          <w:szCs w:val="32"/>
        </w:rPr>
        <w:t>9年末，本部门共有：房屋建筑物280平方；车辆0辆，其中：一般公务用车0辆、一般执法执勤用车0辆、特种专业技术用车0辆，其他用车0辆，单位价值</w:t>
      </w:r>
      <w:r>
        <w:rPr>
          <w:rFonts w:ascii="仿宋" w:hAnsi="仿宋" w:eastAsia="仿宋"/>
          <w:szCs w:val="32"/>
        </w:rPr>
        <w:t>50</w:t>
      </w:r>
      <w:r>
        <w:rPr>
          <w:rFonts w:hint="eastAsia" w:ascii="仿宋" w:hAnsi="仿宋" w:eastAsia="仿宋"/>
          <w:szCs w:val="32"/>
        </w:rPr>
        <w:t>万元以上通用设备0台（套），单位价值</w:t>
      </w:r>
      <w:r>
        <w:rPr>
          <w:rFonts w:ascii="仿宋" w:hAnsi="仿宋" w:eastAsia="仿宋"/>
          <w:szCs w:val="32"/>
        </w:rPr>
        <w:t>100</w:t>
      </w:r>
      <w:r>
        <w:rPr>
          <w:rFonts w:hint="eastAsia" w:ascii="仿宋" w:hAnsi="仿宋" w:eastAsia="仿宋"/>
          <w:szCs w:val="32"/>
        </w:rPr>
        <w:t>万元以上专用设备0台（套）。</w:t>
      </w:r>
    </w:p>
    <w:p>
      <w:pPr>
        <w:ind w:firstLine="640" w:firstLineChars="200"/>
        <w:rPr>
          <w:rFonts w:ascii="黑体" w:hAnsi="黑体" w:eastAsia="黑体"/>
          <w:szCs w:val="32"/>
        </w:rPr>
      </w:pPr>
      <w:r>
        <w:rPr>
          <w:rFonts w:hint="eastAsia" w:ascii="黑体" w:hAnsi="黑体" w:eastAsia="黑体"/>
          <w:szCs w:val="32"/>
        </w:rPr>
        <w:t>九、预算绩效管理工作开展情况</w:t>
      </w:r>
    </w:p>
    <w:p>
      <w:pPr>
        <w:ind w:firstLine="640" w:firstLineChars="200"/>
        <w:rPr>
          <w:rFonts w:ascii="仿宋" w:hAnsi="仿宋" w:eastAsia="仿宋"/>
          <w:szCs w:val="32"/>
        </w:rPr>
      </w:pPr>
      <w:r>
        <w:rPr>
          <w:rFonts w:hint="eastAsia" w:ascii="仿宋" w:hAnsi="仿宋" w:eastAsia="仿宋"/>
          <w:szCs w:val="32"/>
        </w:rPr>
        <w:t>按照《濮阳市华龙区财政局关于编制区级部门2020-2022年收支规划和2020年部门预算的通知》（华龙财〔2019〕108号）有关全面推进预算绩效管理方面的要求，本部门牢固树立“讲绩效、重绩效、用绩效”的绩效管理理念，年度预算申报时，针对政策及重点项目逐项设立并报送了预算绩效目标。绩效目标设定涉及2个项目，11万元，并将以此为基础开展后续预算绩效管理工作，努力建立健全以结果为导向的预算绩效管理工作机制。</w:t>
      </w:r>
    </w:p>
    <w:p>
      <w:pPr>
        <w:ind w:firstLine="640" w:firstLineChars="200"/>
        <w:rPr>
          <w:rFonts w:ascii="黑体" w:hAnsi="黑体" w:eastAsia="黑体"/>
          <w:szCs w:val="32"/>
        </w:rPr>
      </w:pP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第三部分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名词解释</w:t>
      </w:r>
    </w:p>
    <w:p>
      <w:pPr>
        <w:ind w:firstLine="640" w:firstLineChars="200"/>
        <w:rPr>
          <w:rFonts w:ascii="仿宋" w:hAnsi="仿宋" w:eastAsia="仿宋"/>
          <w:szCs w:val="32"/>
        </w:rPr>
      </w:pPr>
    </w:p>
    <w:p>
      <w:pPr>
        <w:ind w:firstLine="640"/>
        <w:rPr>
          <w:rFonts w:ascii="黑体" w:hAnsi="黑体" w:eastAsia="黑体"/>
          <w:szCs w:val="32"/>
        </w:rPr>
      </w:pPr>
      <w:r>
        <w:rPr>
          <w:rFonts w:hint="eastAsia" w:ascii="黑体" w:hAnsi="黑体" w:eastAsia="黑体"/>
          <w:szCs w:val="32"/>
        </w:rPr>
        <w:t>一、财政拨款收入</w:t>
      </w:r>
    </w:p>
    <w:p>
      <w:pPr>
        <w:ind w:firstLine="640"/>
        <w:rPr>
          <w:rFonts w:ascii="仿宋" w:hAnsi="仿宋" w:eastAsia="仿宋"/>
          <w:szCs w:val="32"/>
        </w:rPr>
      </w:pPr>
      <w:r>
        <w:rPr>
          <w:rFonts w:hint="eastAsia" w:ascii="仿宋" w:hAnsi="仿宋" w:eastAsia="仿宋"/>
          <w:szCs w:val="32"/>
        </w:rPr>
        <w:t>指本级财政当年拨付的资金。</w:t>
      </w:r>
    </w:p>
    <w:p>
      <w:pPr>
        <w:ind w:firstLine="640"/>
        <w:rPr>
          <w:rFonts w:ascii="黑体" w:hAnsi="黑体" w:eastAsia="黑体"/>
          <w:szCs w:val="32"/>
        </w:rPr>
      </w:pPr>
      <w:r>
        <w:rPr>
          <w:rFonts w:hint="eastAsia" w:ascii="黑体" w:hAnsi="黑体" w:eastAsia="黑体"/>
          <w:szCs w:val="32"/>
        </w:rPr>
        <w:t>二、事业收入</w:t>
      </w:r>
    </w:p>
    <w:p>
      <w:pPr>
        <w:ind w:firstLine="640" w:firstLineChars="200"/>
        <w:rPr>
          <w:rFonts w:ascii="仿宋" w:hAnsi="仿宋" w:eastAsia="仿宋"/>
          <w:szCs w:val="32"/>
        </w:rPr>
      </w:pPr>
      <w:r>
        <w:rPr>
          <w:rFonts w:hint="eastAsia" w:ascii="仿宋" w:hAnsi="仿宋" w:eastAsia="仿宋"/>
          <w:szCs w:val="32"/>
        </w:rPr>
        <w:t>指事业单位开展专务活动及辅助所取得的收入。</w:t>
      </w:r>
    </w:p>
    <w:p>
      <w:pPr>
        <w:ind w:firstLine="640"/>
        <w:rPr>
          <w:rFonts w:ascii="黑体" w:hAnsi="黑体" w:eastAsia="黑体"/>
          <w:szCs w:val="32"/>
        </w:rPr>
      </w:pPr>
      <w:r>
        <w:rPr>
          <w:rFonts w:hint="eastAsia" w:ascii="黑体" w:hAnsi="黑体" w:eastAsia="黑体"/>
          <w:szCs w:val="32"/>
        </w:rPr>
        <w:t>三、其他收入</w:t>
      </w:r>
    </w:p>
    <w:p>
      <w:pPr>
        <w:ind w:firstLine="640" w:firstLineChars="200"/>
        <w:rPr>
          <w:rFonts w:ascii="仿宋" w:hAnsi="仿宋" w:eastAsia="仿宋"/>
          <w:szCs w:val="32"/>
        </w:rPr>
      </w:pPr>
      <w:r>
        <w:rPr>
          <w:rFonts w:hint="eastAsia" w:ascii="仿宋" w:hAnsi="仿宋" w:eastAsia="仿宋"/>
          <w:szCs w:val="32"/>
        </w:rPr>
        <w:t>指除“财政拨款”、“事业收入”、“事业单位经营收入”、“附属单位上缴收入”等以外的收入。</w:t>
      </w:r>
    </w:p>
    <w:p>
      <w:pPr>
        <w:ind w:firstLine="640"/>
        <w:rPr>
          <w:rFonts w:ascii="黑体" w:hAnsi="黑体" w:eastAsia="黑体"/>
          <w:szCs w:val="32"/>
        </w:rPr>
      </w:pPr>
      <w:r>
        <w:rPr>
          <w:rFonts w:hint="eastAsia" w:ascii="黑体" w:hAnsi="黑体" w:eastAsia="黑体"/>
          <w:szCs w:val="32"/>
        </w:rPr>
        <w:t>四、基本支出</w:t>
      </w:r>
    </w:p>
    <w:p>
      <w:pPr>
        <w:ind w:firstLine="640" w:firstLineChars="200"/>
        <w:rPr>
          <w:rFonts w:ascii="仿宋" w:hAnsi="仿宋" w:eastAsia="仿宋"/>
          <w:szCs w:val="32"/>
        </w:rPr>
      </w:pPr>
      <w:r>
        <w:rPr>
          <w:rFonts w:hint="eastAsia" w:ascii="仿宋" w:hAnsi="仿宋" w:eastAsia="仿宋"/>
          <w:szCs w:val="32"/>
        </w:rPr>
        <w:t>指为保障机构正常运转、完成日常工作任务所必需的开支，其内容包括人员经费和日常公用经费两部分。</w:t>
      </w:r>
    </w:p>
    <w:p>
      <w:pPr>
        <w:ind w:firstLine="640"/>
        <w:rPr>
          <w:rFonts w:ascii="黑体" w:hAnsi="黑体" w:eastAsia="黑体"/>
          <w:szCs w:val="32"/>
        </w:rPr>
      </w:pPr>
      <w:r>
        <w:rPr>
          <w:rFonts w:hint="eastAsia" w:ascii="黑体" w:hAnsi="黑体" w:eastAsia="黑体"/>
          <w:szCs w:val="32"/>
        </w:rPr>
        <w:t>五、项目支出</w:t>
      </w:r>
    </w:p>
    <w:p>
      <w:pPr>
        <w:ind w:firstLine="640" w:firstLineChars="200"/>
        <w:rPr>
          <w:rFonts w:ascii="仿宋" w:hAnsi="仿宋" w:eastAsia="仿宋"/>
          <w:szCs w:val="32"/>
        </w:rPr>
      </w:pPr>
      <w:r>
        <w:rPr>
          <w:rFonts w:hint="eastAsia" w:ascii="仿宋" w:hAnsi="仿宋" w:eastAsia="仿宋"/>
          <w:szCs w:val="32"/>
        </w:rPr>
        <w:t>指在基本支出之外，为完成特定的行政工作任务或事业发展目标所发生的支出。</w:t>
      </w:r>
    </w:p>
    <w:p>
      <w:pPr>
        <w:ind w:firstLine="640"/>
        <w:rPr>
          <w:rFonts w:ascii="黑体" w:hAnsi="黑体" w:eastAsia="黑体"/>
          <w:szCs w:val="32"/>
        </w:rPr>
      </w:pPr>
      <w:r>
        <w:rPr>
          <w:rFonts w:hint="eastAsia" w:ascii="黑体" w:hAnsi="黑体" w:eastAsia="黑体"/>
          <w:szCs w:val="32"/>
        </w:rPr>
        <w:t>六、机关运行经费</w:t>
      </w:r>
    </w:p>
    <w:p>
      <w:pPr>
        <w:ind w:firstLine="640" w:firstLineChars="200"/>
        <w:rPr>
          <w:rFonts w:ascii="仿宋" w:hAnsi="仿宋" w:eastAsia="仿宋"/>
          <w:szCs w:val="32"/>
        </w:rPr>
      </w:pPr>
      <w:r>
        <w:rPr>
          <w:rFonts w:hint="eastAsia" w:ascii="仿宋" w:hAnsi="仿宋" w:eastAsia="仿宋"/>
          <w:szCs w:val="32"/>
        </w:rPr>
        <w:t>指为保障行政单位（含参照公务员法管理的事业单位）正常运转及正常履职需要的支出，包括办公费、印刷费、“三公”经费、差旅费、会议费、日常维修费、办公用房水电费、办公用房取暖费、办公用房物业管理费、公务用车运行维护费以及其他费用。</w:t>
      </w:r>
    </w:p>
    <w:p>
      <w:pPr>
        <w:ind w:firstLine="640"/>
        <w:rPr>
          <w:rFonts w:ascii="黑体" w:hAnsi="黑体" w:eastAsia="黑体"/>
          <w:szCs w:val="32"/>
        </w:rPr>
      </w:pPr>
      <w:r>
        <w:rPr>
          <w:rFonts w:hint="eastAsia" w:ascii="黑体" w:hAnsi="黑体" w:eastAsia="黑体"/>
          <w:szCs w:val="32"/>
        </w:rPr>
        <w:t>七、“三公”经费</w:t>
      </w:r>
    </w:p>
    <w:p>
      <w:pPr>
        <w:ind w:firstLine="640" w:firstLineChars="200"/>
        <w:rPr>
          <w:rFonts w:ascii="仿宋" w:hAnsi="仿宋" w:eastAsia="仿宋"/>
          <w:szCs w:val="32"/>
        </w:rPr>
      </w:pPr>
      <w:r>
        <w:rPr>
          <w:rFonts w:hint="eastAsia" w:ascii="仿宋" w:hAnsi="仿宋" w:eastAsia="仿宋"/>
          <w:szCs w:val="32"/>
        </w:rPr>
        <w:t>指纳入本级财政预决算管理，本级部门使用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接待支出。</w:t>
      </w:r>
    </w:p>
    <w:p>
      <w:pPr>
        <w:widowControl/>
        <w:jc w:val="left"/>
        <w:rPr>
          <w:rFonts w:ascii="仿宋" w:hAnsi="仿宋" w:eastAsia="仿宋"/>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decorative"/>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decorative"/>
    <w:pitch w:val="default"/>
    <w:sig w:usb0="00000001" w:usb1="080E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center;mso-position-horizontal-relative:margin;mso-wrap-style:none;z-index:251658240;mso-width-relative:page;mso-height-relative:page;" fillcolor="#FFFFFF"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5yqKvNYAAAAFAQAADwAAAGRycy9kb3ducmV2Lnht&#10;bEyPQUvDQBCF70L/wzIFb3ZjD5LEbIqWeulFWgWv0+yYBHdnQ3abxn/vKIJehnm84b1vqs3snZpo&#10;jH1gA7erDBRxE2zPrYHXl6ebHFRMyBZdYDLwSRE29eKqwtKGCx9oOqZWSQjHEg10KQ2l1rHpyGNc&#10;hYFYvPcwekwix1bbES8S7p1eZ9md9tizNHQ40Laj5uN49tK7d29TKNKh0dPOPs55wc/7wpjr5fxw&#10;DyrRnP6O4Rtf0KEWplM4s43KGZBH0s8Ub53nIk+/i64r/Z++/gIAAP//AwBQSwECLQAUAAYACAAA&#10;ACEAtoM4kv4AAADhAQAAEwAAAAAAAAAAAAAAAAAAAAAAW0NvbnRlbnRfVHlwZXNdLnhtbFBLAQIt&#10;ABQABgAIAAAAIQA4/SH/1gAAAJQBAAALAAAAAAAAAAAAAAAAAC8BAABfcmVscy8ucmVsc1BLAQIt&#10;ABQABgAIAAAAIQBABToGYAIAAAoFAAAOAAAAAAAAAAAAAAAAAC4CAABkcnMvZTJvRG9jLnhtbFBL&#10;AQItABQABgAIAAAAIQDnKoq81gAAAAUBAAAPAAAAAAAAAAAAAAAAALoEAABkcnMvZG93bnJldi54&#10;bWxQSwUGAAAAAAQABADzAAAAvQUAAAAA&#10;">
          <v:path/>
          <v:fill on="f" focussize="0,0"/>
          <v:stroke on="f" weight="0.5pt" joinstyle="miter"/>
          <v:imagedata o:title=""/>
          <o:lock v:ext="edit"/>
          <v:textbox inset="0mm,0mm,0mm,0mm" style="mso-fit-shape-to-text:t;">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- 9 -</w:t>
                </w:r>
                <w:r>
                  <w:rPr>
                    <w:rFonts w:hint="eastAsia"/>
                    <w:sz w:val="21"/>
                    <w:szCs w:val="21"/>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47FE9"/>
    <w:multiLevelType w:val="multilevel"/>
    <w:tmpl w:val="0F247FE9"/>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25FAC"/>
    <w:rsid w:val="000823B5"/>
    <w:rsid w:val="000B392C"/>
    <w:rsid w:val="00125FAC"/>
    <w:rsid w:val="00127F6F"/>
    <w:rsid w:val="00162A29"/>
    <w:rsid w:val="001852DE"/>
    <w:rsid w:val="001965F5"/>
    <w:rsid w:val="00196E05"/>
    <w:rsid w:val="001B31A3"/>
    <w:rsid w:val="00207623"/>
    <w:rsid w:val="0024750C"/>
    <w:rsid w:val="002A397A"/>
    <w:rsid w:val="002F1054"/>
    <w:rsid w:val="00334DFB"/>
    <w:rsid w:val="00377211"/>
    <w:rsid w:val="003838FD"/>
    <w:rsid w:val="003A1923"/>
    <w:rsid w:val="003C0C15"/>
    <w:rsid w:val="004A3479"/>
    <w:rsid w:val="004B65E1"/>
    <w:rsid w:val="004E79D5"/>
    <w:rsid w:val="0051511D"/>
    <w:rsid w:val="00583109"/>
    <w:rsid w:val="005C4BFD"/>
    <w:rsid w:val="005E427E"/>
    <w:rsid w:val="0060448E"/>
    <w:rsid w:val="00612ECF"/>
    <w:rsid w:val="006B1331"/>
    <w:rsid w:val="007C5FD2"/>
    <w:rsid w:val="00811352"/>
    <w:rsid w:val="00845860"/>
    <w:rsid w:val="008A08E8"/>
    <w:rsid w:val="008A2F34"/>
    <w:rsid w:val="008D7DD2"/>
    <w:rsid w:val="008E57A8"/>
    <w:rsid w:val="008E79C8"/>
    <w:rsid w:val="009153FC"/>
    <w:rsid w:val="00925F66"/>
    <w:rsid w:val="00975602"/>
    <w:rsid w:val="00976444"/>
    <w:rsid w:val="009A1FE2"/>
    <w:rsid w:val="00A02B5D"/>
    <w:rsid w:val="00A230DB"/>
    <w:rsid w:val="00AE6DA3"/>
    <w:rsid w:val="00B62460"/>
    <w:rsid w:val="00BC0D2F"/>
    <w:rsid w:val="00BD7351"/>
    <w:rsid w:val="00BE282E"/>
    <w:rsid w:val="00C15DCD"/>
    <w:rsid w:val="00C56A03"/>
    <w:rsid w:val="00C64FBE"/>
    <w:rsid w:val="00CF5D7F"/>
    <w:rsid w:val="00D56ECE"/>
    <w:rsid w:val="00DA4FD4"/>
    <w:rsid w:val="00DF06AF"/>
    <w:rsid w:val="00E51657"/>
    <w:rsid w:val="00E56EAF"/>
    <w:rsid w:val="00E72D14"/>
    <w:rsid w:val="00F16E11"/>
    <w:rsid w:val="00F34146"/>
    <w:rsid w:val="00F97444"/>
    <w:rsid w:val="00FC2311"/>
    <w:rsid w:val="00FD4637"/>
    <w:rsid w:val="00FE26A6"/>
    <w:rsid w:val="1A2105CB"/>
    <w:rsid w:val="537D4091"/>
    <w:rsid w:val="563F65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eastAsia="仿宋_GB2312" w:hAnsiTheme="minorHAnsi" w:cstheme="minorBidi"/>
      <w:kern w:val="2"/>
      <w:sz w:val="32"/>
      <w:szCs w:val="22"/>
      <w:lang w:val="en-US" w:eastAsia="zh-CN" w:bidi="ar-SA"/>
    </w:rPr>
  </w:style>
  <w:style w:type="paragraph" w:styleId="2">
    <w:name w:val="heading 1"/>
    <w:basedOn w:val="1"/>
    <w:next w:val="1"/>
    <w:link w:val="9"/>
    <w:qFormat/>
    <w:uiPriority w:val="9"/>
    <w:pPr>
      <w:jc w:val="center"/>
      <w:outlineLvl w:val="0"/>
    </w:pPr>
    <w:rPr>
      <w:rFonts w:ascii="方正小标宋_GBK" w:eastAsia="方正小标宋_GBK"/>
      <w:sz w:val="44"/>
    </w:rPr>
  </w:style>
  <w:style w:type="character" w:default="1" w:styleId="8">
    <w:name w:val="Default Paragraph Font"/>
    <w:unhideWhenUsed/>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alloon Text"/>
    <w:basedOn w:val="1"/>
    <w:link w:val="13"/>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标题 1 Char"/>
    <w:basedOn w:val="8"/>
    <w:link w:val="2"/>
    <w:qFormat/>
    <w:uiPriority w:val="9"/>
    <w:rPr>
      <w:rFonts w:ascii="方正小标宋_GBK" w:eastAsia="方正小标宋_GBK"/>
      <w:sz w:val="44"/>
    </w:rPr>
  </w:style>
  <w:style w:type="character" w:customStyle="1" w:styleId="10">
    <w:name w:val="页眉 Char"/>
    <w:basedOn w:val="8"/>
    <w:link w:val="5"/>
    <w:uiPriority w:val="99"/>
    <w:rPr>
      <w:rFonts w:ascii="仿宋_GB2312" w:eastAsia="仿宋_GB2312"/>
      <w:sz w:val="18"/>
      <w:szCs w:val="18"/>
    </w:rPr>
  </w:style>
  <w:style w:type="character" w:customStyle="1" w:styleId="11">
    <w:name w:val="页脚 Char"/>
    <w:basedOn w:val="8"/>
    <w:link w:val="4"/>
    <w:uiPriority w:val="99"/>
    <w:rPr>
      <w:rFonts w:ascii="仿宋_GB2312" w:eastAsia="仿宋_GB2312"/>
      <w:sz w:val="18"/>
      <w:szCs w:val="18"/>
    </w:rPr>
  </w:style>
  <w:style w:type="paragraph" w:customStyle="1" w:styleId="12">
    <w:name w:val="List Paragraph"/>
    <w:basedOn w:val="1"/>
    <w:qFormat/>
    <w:uiPriority w:val="34"/>
    <w:pPr>
      <w:ind w:firstLine="420" w:firstLineChars="200"/>
    </w:pPr>
  </w:style>
  <w:style w:type="character" w:customStyle="1" w:styleId="13">
    <w:name w:val="批注框文本 Char"/>
    <w:basedOn w:val="8"/>
    <w:link w:val="3"/>
    <w:semiHidden/>
    <w:qFormat/>
    <w:uiPriority w:val="99"/>
    <w:rPr>
      <w:rFonts w:ascii="仿宋_GB2312" w:eastAsia="仿宋_GB231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632</Words>
  <Characters>3603</Characters>
  <Lines>30</Lines>
  <Paragraphs>8</Paragraphs>
  <TotalTime>0</TotalTime>
  <ScaleCrop>false</ScaleCrop>
  <LinksUpToDate>false</LinksUpToDate>
  <CharactersWithSpaces>4227</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2020-03-03T01:56:00Z</dcterms:created>
  <dc:creator>ys-pc</dc:creator>
  <cp:lastModifiedBy>lenovo</cp:lastModifiedBy>
  <cp:lastPrinted>2020-03-03T07:59:00Z</cp:lastPrinted>
  <dcterms:modified xsi:type="dcterms:W3CDTF">2020-12-14T08:28:27Z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