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jc w:val="center"/>
        <w:rPr>
          <w:rFonts w:ascii="方正小标宋简体" w:hAnsi="方正小标宋简体" w:eastAsia="方正小标宋简体" w:cs="方正小标宋简体"/>
          <w:spacing w:val="-20"/>
          <w:w w:val="85"/>
          <w:sz w:val="56"/>
        </w:rPr>
      </w:pPr>
      <w:r>
        <w:rPr>
          <w:rFonts w:hint="eastAsia" w:ascii="方正小标宋简体" w:hAnsi="方正小标宋简体" w:eastAsia="方正小标宋简体" w:cs="方正小标宋简体"/>
          <w:spacing w:val="-20"/>
          <w:w w:val="85"/>
          <w:sz w:val="56"/>
        </w:rPr>
        <w:t>中共濮阳市华龙区委区直机关工作委员会</w:t>
      </w:r>
    </w:p>
    <w:p>
      <w:pPr>
        <w:jc w:val="center"/>
        <w:rPr>
          <w:rFonts w:ascii="方正小标宋简体" w:hAnsi="方正小标宋简体" w:eastAsia="方正小标宋简体" w:cs="方正小标宋简体"/>
          <w:spacing w:val="-20"/>
          <w:sz w:val="44"/>
        </w:rPr>
      </w:pPr>
      <w:r>
        <w:rPr>
          <w:rFonts w:hint="eastAsia" w:ascii="方正小标宋简体" w:hAnsi="方正小标宋简体" w:eastAsia="方正小标宋简体" w:cs="方正小标宋简体"/>
          <w:w w:val="85"/>
          <w:sz w:val="56"/>
        </w:rPr>
        <w:t>2020年部门预算公开说明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both"/>
        <w:rPr>
          <w:rFonts w:ascii="方正小标宋_GBK" w:eastAsia="方正小标宋_GBK"/>
          <w:sz w:val="40"/>
        </w:rPr>
      </w:pPr>
    </w:p>
    <w:p>
      <w:pPr>
        <w:jc w:val="center"/>
        <w:rPr>
          <w:rFonts w:ascii="楷体_GB2312" w:eastAsia="楷体_GB2312"/>
          <w:b/>
          <w:w w:val="90"/>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rPr>
        <w:t>年六月</w:t>
      </w:r>
    </w:p>
    <w:p>
      <w:pPr>
        <w:widowControl/>
        <w:jc w:val="left"/>
        <w:rPr>
          <w:rFonts w:ascii="黑体" w:hAnsi="黑体" w:eastAsia="黑体" w:cs="宋体"/>
          <w:color w:val="000000"/>
          <w:kern w:val="0"/>
          <w:sz w:val="44"/>
          <w:szCs w:val="32"/>
        </w:rPr>
      </w:pPr>
      <w:r>
        <w:rPr>
          <w:rFonts w:ascii="黑体" w:hAnsi="黑体" w:eastAsia="黑体"/>
          <w:color w:val="000000"/>
          <w:sz w:val="44"/>
          <w:szCs w:val="32"/>
        </w:rPr>
        <w:br w:type="page"/>
      </w:r>
    </w:p>
    <w:p>
      <w:pPr>
        <w:pStyle w:val="6"/>
        <w:topLinePunct/>
        <w:spacing w:before="0" w:beforeAutospacing="0" w:after="0" w:afterAutospacing="0" w:line="360" w:lineRule="auto"/>
        <w:ind w:firstLine="880"/>
        <w:jc w:val="center"/>
        <w:rPr>
          <w:rFonts w:ascii="黑体" w:hAnsi="黑体" w:eastAsia="黑体"/>
          <w:color w:val="000000"/>
          <w:sz w:val="44"/>
          <w:szCs w:val="32"/>
        </w:rPr>
      </w:pPr>
    </w:p>
    <w:p>
      <w:pPr>
        <w:pStyle w:val="6"/>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6"/>
        <w:topLinePunct/>
        <w:spacing w:before="0" w:beforeAutospacing="0" w:after="0" w:afterAutospacing="0" w:line="360" w:lineRule="auto"/>
        <w:ind w:firstLine="720"/>
        <w:jc w:val="center"/>
        <w:rPr>
          <w:rFonts w:ascii="黑体" w:hAnsi="黑体" w:eastAsia="黑体"/>
          <w:color w:val="000000"/>
          <w:sz w:val="36"/>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一、部门主要职责</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二、机构设置情况</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6"/>
        <w:overflowPunct w:val="0"/>
        <w:topLinePunct/>
        <w:spacing w:before="0" w:beforeAutospacing="0" w:after="0" w:afterAutospacing="0" w:line="360" w:lineRule="auto"/>
        <w:ind w:firstLine="640"/>
        <w:jc w:val="both"/>
        <w:rPr>
          <w:rFonts w:ascii="黑体" w:hAnsi="黑体" w:eastAsia="黑体"/>
          <w:color w:val="000000"/>
          <w:sz w:val="32"/>
          <w:szCs w:val="32"/>
        </w:rPr>
      </w:pPr>
    </w:p>
    <w:p>
      <w:pPr>
        <w:pStyle w:val="6"/>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w:t>
      </w:r>
      <w:r>
        <w:rPr>
          <w:rFonts w:hint="eastAsia" w:ascii="黑体" w:hAnsi="黑体" w:eastAsia="黑体"/>
          <w:sz w:val="32"/>
          <w:szCs w:val="32"/>
        </w:rPr>
        <w:t>中共濮阳市华龙区委区直机关工作委员会</w:t>
      </w:r>
      <w:r>
        <w:rPr>
          <w:rFonts w:hint="eastAsia" w:ascii="黑体" w:hAnsi="黑体" w:eastAsia="黑体"/>
          <w:color w:val="000000"/>
          <w:sz w:val="32"/>
          <w:szCs w:val="32"/>
        </w:rPr>
        <w:t>2020年部门预算表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一、部门收支总表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二、部门收入总表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三、部门支出总表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四、财政拨款收支总表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五、一般公共预算支出表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六、一般公共预算基本支出表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七、一般公共预算“三公”经费支出表</w:t>
      </w:r>
    </w:p>
    <w:p>
      <w:pPr>
        <w:pStyle w:val="6"/>
        <w:overflowPunct w:val="0"/>
        <w:topLinePunct/>
        <w:spacing w:before="0" w:beforeAutospacing="0" w:after="0" w:afterAutospacing="0" w:line="360" w:lineRule="auto"/>
        <w:ind w:firstLine="64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Cs w:val="32"/>
        </w:rPr>
      </w:pPr>
    </w:p>
    <w:p>
      <w:pPr>
        <w:rPr>
          <w:rFonts w:ascii="黑体" w:hAnsi="黑体" w:eastAsia="黑体"/>
          <w:szCs w:val="32"/>
        </w:rPr>
      </w:pPr>
      <w:r>
        <w:rPr>
          <w:rFonts w:ascii="黑体" w:hAnsi="黑体" w:eastAsia="黑体"/>
          <w:szCs w:val="32"/>
        </w:rPr>
        <w:br w:type="page"/>
      </w: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Cs w:val="32"/>
        </w:rPr>
      </w:pPr>
      <w:r>
        <w:rPr>
          <w:rFonts w:ascii="黑体" w:hAnsi="黑体" w:eastAsia="黑体"/>
          <w:szCs w:val="32"/>
        </w:rPr>
        <w:t> </w:t>
      </w:r>
    </w:p>
    <w:p>
      <w:pPr>
        <w:ind w:firstLine="640" w:firstLineChars="200"/>
        <w:rPr>
          <w:rFonts w:ascii="黑体" w:hAnsi="黑体" w:eastAsia="黑体"/>
          <w:szCs w:val="32"/>
        </w:rPr>
      </w:pPr>
      <w:r>
        <w:rPr>
          <w:rFonts w:hint="eastAsia" w:ascii="黑体" w:hAnsi="黑体" w:eastAsia="黑体"/>
          <w:szCs w:val="32"/>
        </w:rPr>
        <w:t>一、部门主要职责</w:t>
      </w:r>
    </w:p>
    <w:p>
      <w:pPr>
        <w:widowControl/>
        <w:ind w:firstLine="640" w:firstLineChars="200"/>
        <w:jc w:val="left"/>
        <w:rPr>
          <w:rFonts w:ascii="仿宋" w:hAnsi="仿宋" w:eastAsia="仿宋" w:cs="仿宋"/>
          <w:color w:val="000000"/>
          <w:kern w:val="0"/>
          <w:szCs w:val="32"/>
        </w:rPr>
      </w:pPr>
      <w:r>
        <w:rPr>
          <w:rFonts w:hint="eastAsia" w:ascii="仿宋" w:hAnsi="仿宋" w:eastAsia="仿宋" w:cs="仿宋"/>
          <w:szCs w:val="32"/>
        </w:rPr>
        <w:t>1、</w:t>
      </w:r>
      <w:r>
        <w:rPr>
          <w:rFonts w:hint="eastAsia" w:ascii="仿宋" w:hAnsi="仿宋" w:eastAsia="仿宋" w:cs="仿宋"/>
          <w:color w:val="000000"/>
          <w:kern w:val="0"/>
          <w:szCs w:val="32"/>
        </w:rPr>
        <w:t>指导和领导区直机关各党组织的党建工作；</w:t>
      </w:r>
    </w:p>
    <w:p>
      <w:pPr>
        <w:spacing w:line="600" w:lineRule="exact"/>
        <w:rPr>
          <w:rFonts w:ascii="仿宋" w:hAnsi="仿宋" w:eastAsia="仿宋" w:cs="仿宋"/>
          <w:szCs w:val="32"/>
        </w:rPr>
      </w:pPr>
      <w:r>
        <w:rPr>
          <w:rFonts w:hint="eastAsia" w:ascii="仿宋" w:hAnsi="仿宋" w:eastAsia="仿宋" w:cs="仿宋"/>
          <w:szCs w:val="32"/>
        </w:rPr>
        <w:t xml:space="preserve">    2、</w:t>
      </w:r>
      <w:r>
        <w:rPr>
          <w:rFonts w:hint="eastAsia" w:ascii="仿宋" w:hAnsi="仿宋" w:eastAsia="仿宋" w:cs="仿宋"/>
          <w:color w:val="000000"/>
          <w:kern w:val="0"/>
          <w:szCs w:val="32"/>
        </w:rPr>
        <w:t>负责基层党组织的设置、支部的改选、补选、调整和换届工作；</w:t>
      </w:r>
    </w:p>
    <w:p>
      <w:pPr>
        <w:numPr>
          <w:ilvl w:val="0"/>
          <w:numId w:val="1"/>
        </w:numPr>
        <w:spacing w:line="600" w:lineRule="exact"/>
        <w:ind w:firstLine="640" w:firstLineChars="200"/>
        <w:rPr>
          <w:rFonts w:ascii="仿宋" w:hAnsi="仿宋" w:eastAsia="仿宋" w:cs="仿宋"/>
          <w:color w:val="000000"/>
          <w:kern w:val="0"/>
          <w:szCs w:val="32"/>
        </w:rPr>
      </w:pPr>
      <w:r>
        <w:rPr>
          <w:rFonts w:hint="eastAsia" w:ascii="仿宋" w:hAnsi="仿宋" w:eastAsia="仿宋" w:cs="仿宋"/>
          <w:color w:val="000000"/>
          <w:kern w:val="0"/>
          <w:szCs w:val="32"/>
        </w:rPr>
        <w:t>负责与区直机关各党组织年度党建目标的制定、签订、运行和考评；</w:t>
      </w:r>
    </w:p>
    <w:p>
      <w:pPr>
        <w:numPr>
          <w:ilvl w:val="0"/>
          <w:numId w:val="1"/>
        </w:numPr>
        <w:spacing w:line="600" w:lineRule="exact"/>
        <w:ind w:firstLine="640" w:firstLineChars="200"/>
        <w:rPr>
          <w:rFonts w:ascii="仿宋" w:hAnsi="仿宋" w:eastAsia="仿宋" w:cs="仿宋"/>
          <w:color w:val="000000"/>
          <w:kern w:val="0"/>
          <w:szCs w:val="32"/>
        </w:rPr>
      </w:pPr>
      <w:r>
        <w:rPr>
          <w:rFonts w:hint="eastAsia" w:ascii="仿宋" w:hAnsi="仿宋" w:eastAsia="仿宋" w:cs="仿宋"/>
          <w:color w:val="000000"/>
          <w:kern w:val="0"/>
          <w:szCs w:val="32"/>
        </w:rPr>
        <w:t>指导区直机关各党组织抓好党的思想、组织；</w:t>
      </w:r>
    </w:p>
    <w:p>
      <w:pPr>
        <w:numPr>
          <w:ilvl w:val="0"/>
          <w:numId w:val="1"/>
        </w:numPr>
        <w:spacing w:line="600" w:lineRule="exact"/>
        <w:ind w:firstLine="640" w:firstLineChars="200"/>
        <w:rPr>
          <w:rFonts w:ascii="仿宋" w:hAnsi="仿宋" w:eastAsia="仿宋" w:cs="仿宋"/>
          <w:color w:val="000000"/>
          <w:kern w:val="0"/>
          <w:szCs w:val="32"/>
        </w:rPr>
      </w:pPr>
      <w:r>
        <w:rPr>
          <w:rFonts w:hint="eastAsia" w:ascii="仿宋" w:hAnsi="仿宋" w:eastAsia="仿宋" w:cs="仿宋"/>
          <w:color w:val="000000"/>
          <w:kern w:val="0"/>
          <w:szCs w:val="32"/>
        </w:rPr>
        <w:t>指导区直机关党组织配合行政领导做好思想政治工作；</w:t>
      </w:r>
    </w:p>
    <w:p>
      <w:pPr>
        <w:numPr>
          <w:ilvl w:val="0"/>
          <w:numId w:val="1"/>
        </w:numPr>
        <w:spacing w:line="600" w:lineRule="exact"/>
        <w:ind w:firstLine="640" w:firstLineChars="200"/>
        <w:rPr>
          <w:rFonts w:ascii="仿宋" w:hAnsi="仿宋" w:eastAsia="仿宋" w:cs="仿宋"/>
          <w:color w:val="000000"/>
          <w:kern w:val="0"/>
          <w:szCs w:val="32"/>
        </w:rPr>
      </w:pPr>
      <w:r>
        <w:rPr>
          <w:rFonts w:hint="eastAsia" w:ascii="仿宋" w:hAnsi="仿宋" w:eastAsia="仿宋" w:cs="仿宋"/>
          <w:color w:val="000000"/>
          <w:kern w:val="0"/>
          <w:szCs w:val="32"/>
        </w:rPr>
        <w:t>指导基层党支部加强对入党积极分子的培养教育，做好对发展对象入党前的审查、考察和集中培训，预备党员的审批和到期转正的申请；</w:t>
      </w:r>
    </w:p>
    <w:p>
      <w:pPr>
        <w:numPr>
          <w:ilvl w:val="0"/>
          <w:numId w:val="1"/>
        </w:numPr>
        <w:spacing w:line="600" w:lineRule="exact"/>
        <w:ind w:firstLine="640" w:firstLineChars="200"/>
        <w:rPr>
          <w:rFonts w:ascii="仿宋" w:hAnsi="仿宋" w:eastAsia="仿宋" w:cs="仿宋"/>
          <w:szCs w:val="32"/>
        </w:rPr>
      </w:pPr>
      <w:r>
        <w:rPr>
          <w:rFonts w:hint="eastAsia" w:ascii="仿宋" w:hAnsi="仿宋" w:eastAsia="仿宋" w:cs="仿宋"/>
          <w:color w:val="000000"/>
          <w:kern w:val="0"/>
          <w:szCs w:val="32"/>
        </w:rPr>
        <w:t>承办区委交办的其他事项。</w:t>
      </w:r>
    </w:p>
    <w:p>
      <w:pPr>
        <w:ind w:firstLine="640" w:firstLineChars="200"/>
        <w:rPr>
          <w:rFonts w:ascii="黑体" w:hAnsi="黑体" w:eastAsia="黑体"/>
          <w:szCs w:val="32"/>
        </w:rPr>
      </w:pPr>
      <w:r>
        <w:rPr>
          <w:rFonts w:hint="eastAsia" w:ascii="黑体" w:hAnsi="黑体" w:eastAsia="黑体"/>
          <w:szCs w:val="32"/>
        </w:rPr>
        <w:t>二、机构设置情况</w:t>
      </w:r>
    </w:p>
    <w:p>
      <w:pPr>
        <w:widowControl/>
        <w:ind w:left="0" w:leftChars="0" w:firstLine="0" w:firstLineChars="0"/>
        <w:jc w:val="left"/>
        <w:rPr>
          <w:rFonts w:ascii="仿宋" w:hAnsi="仿宋" w:eastAsia="仿宋"/>
          <w:szCs w:val="32"/>
        </w:rPr>
      </w:pPr>
      <w:r>
        <w:rPr>
          <w:rFonts w:hint="eastAsia" w:ascii="仿宋" w:hAnsi="仿宋" w:eastAsia="仿宋" w:cs="仿宋_GB2312"/>
          <w:color w:val="000000" w:themeColor="text1"/>
          <w:kern w:val="0"/>
          <w:szCs w:val="32"/>
          <w:lang w:val="en-US" w:eastAsia="zh-CN"/>
        </w:rPr>
        <w:t xml:space="preserve">    </w:t>
      </w:r>
      <w:r>
        <w:rPr>
          <w:rFonts w:hint="eastAsia" w:ascii="仿宋" w:hAnsi="仿宋" w:eastAsia="仿宋" w:cs="仿宋_GB2312"/>
          <w:color w:val="000000" w:themeColor="text1"/>
          <w:kern w:val="0"/>
          <w:szCs w:val="32"/>
        </w:rPr>
        <w:t>中共濮阳市华龙区委区直机关工作委员会无二级预算单位，</w:t>
      </w:r>
      <w:r>
        <w:rPr>
          <w:rFonts w:hint="eastAsia" w:ascii="仿宋" w:hAnsi="仿宋" w:eastAsia="仿宋"/>
          <w:szCs w:val="32"/>
        </w:rPr>
        <w:t>本部门经费实行全额预算管理。本部门无独立核算的下属预算单位，部门本级预算即汇总预算。</w:t>
      </w:r>
    </w:p>
    <w:p>
      <w:pPr>
        <w:ind w:firstLine="640" w:firstLineChars="200"/>
        <w:rPr>
          <w:rFonts w:ascii="仿宋" w:hAnsi="仿宋" w:eastAsia="仿宋"/>
          <w:szCs w:val="32"/>
        </w:rPr>
      </w:pPr>
    </w:p>
    <w:p>
      <w:pPr>
        <w:ind w:firstLine="640" w:firstLineChars="200"/>
        <w:rPr>
          <w:rFonts w:ascii="仿宋" w:hAnsi="仿宋" w:eastAsia="仿宋"/>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Cs w:val="32"/>
        </w:rPr>
      </w:pPr>
    </w:p>
    <w:p>
      <w:pPr>
        <w:ind w:firstLine="640" w:firstLineChars="200"/>
        <w:rPr>
          <w:rFonts w:ascii="黑体" w:hAnsi="黑体" w:eastAsia="黑体"/>
          <w:szCs w:val="32"/>
        </w:rPr>
      </w:pPr>
      <w:r>
        <w:rPr>
          <w:rFonts w:hint="eastAsia" w:ascii="黑体" w:hAnsi="黑体" w:eastAsia="黑体"/>
          <w:szCs w:val="32"/>
        </w:rPr>
        <w:t>一、本级预算和所属单位预算在内的汇总预算总体情况</w:t>
      </w:r>
    </w:p>
    <w:p>
      <w:pPr>
        <w:ind w:firstLine="640" w:firstLineChars="200"/>
        <w:rPr>
          <w:rFonts w:ascii="仿宋" w:hAnsi="仿宋" w:eastAsia="仿宋"/>
          <w:szCs w:val="32"/>
        </w:rPr>
      </w:pPr>
      <w:r>
        <w:rPr>
          <w:rFonts w:hint="eastAsia" w:ascii="仿宋" w:hAnsi="仿宋" w:eastAsia="仿宋"/>
          <w:szCs w:val="32"/>
        </w:rPr>
        <w:t>本部门无独立核算的下属预算单位，部门本级预算即汇总预算。</w:t>
      </w:r>
      <w:r>
        <w:rPr>
          <w:rFonts w:ascii="仿宋" w:hAnsi="仿宋" w:eastAsia="仿宋"/>
          <w:szCs w:val="32"/>
        </w:rPr>
        <w:t>20</w:t>
      </w:r>
      <w:r>
        <w:rPr>
          <w:rFonts w:hint="eastAsia" w:ascii="仿宋" w:hAnsi="仿宋" w:eastAsia="仿宋"/>
          <w:szCs w:val="32"/>
        </w:rPr>
        <w:t>20年本部门预算收入总计73.63万元，支出总计73.63万元。</w:t>
      </w:r>
    </w:p>
    <w:p>
      <w:pPr>
        <w:ind w:firstLine="640" w:firstLineChars="200"/>
        <w:rPr>
          <w:rFonts w:ascii="黑体" w:hAnsi="黑体" w:eastAsia="黑体"/>
          <w:szCs w:val="32"/>
        </w:rPr>
      </w:pPr>
      <w:r>
        <w:rPr>
          <w:rFonts w:hint="eastAsia" w:ascii="黑体" w:hAnsi="黑体" w:eastAsia="黑体"/>
          <w:szCs w:val="32"/>
        </w:rPr>
        <w:t>二、部门预算收支增减变动情况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20年本部门预算收入总计73.63万元，支出总计73.63万元。其中：基本支出67.23万元，占比91%，项目支出6.4万元，占比8%。</w:t>
      </w:r>
    </w:p>
    <w:p>
      <w:pPr>
        <w:ind w:firstLine="640" w:firstLineChars="200"/>
        <w:rPr>
          <w:rFonts w:ascii="仿宋" w:hAnsi="仿宋" w:eastAsia="仿宋"/>
          <w:szCs w:val="32"/>
        </w:rPr>
      </w:pPr>
      <w:r>
        <w:rPr>
          <w:rFonts w:hint="eastAsia" w:ascii="仿宋" w:hAnsi="仿宋" w:eastAsia="仿宋"/>
          <w:szCs w:val="32"/>
        </w:rPr>
        <w:t>2020年本部门预算</w:t>
      </w:r>
      <w:r>
        <w:rPr>
          <w:rFonts w:hint="eastAsia" w:ascii="仿宋" w:hAnsi="仿宋" w:eastAsia="仿宋" w:cs="仿宋"/>
          <w:sz w:val="32"/>
          <w:szCs w:val="32"/>
          <w:lang w:val="en-US" w:eastAsia="zh-CN"/>
        </w:rPr>
        <w:t>收入和支出均</w:t>
      </w:r>
      <w:r>
        <w:rPr>
          <w:rFonts w:hint="eastAsia" w:ascii="仿宋" w:hAnsi="仿宋" w:eastAsia="仿宋"/>
          <w:szCs w:val="32"/>
        </w:rPr>
        <w:t>较上年减少2.4万元，减少3</w:t>
      </w:r>
      <w:r>
        <w:rPr>
          <w:rFonts w:ascii="仿宋" w:hAnsi="仿宋" w:eastAsia="仿宋"/>
          <w:szCs w:val="32"/>
        </w:rPr>
        <w:t>%</w:t>
      </w:r>
      <w:r>
        <w:rPr>
          <w:rFonts w:hint="eastAsia" w:ascii="仿宋" w:hAnsi="仿宋" w:eastAsia="仿宋"/>
          <w:szCs w:val="32"/>
        </w:rPr>
        <w:t>，主要原因主要原因是深入贯彻落实中央八项规定和厉行节约有关精神。</w:t>
      </w:r>
    </w:p>
    <w:p>
      <w:pPr>
        <w:ind w:firstLine="640" w:firstLineChars="200"/>
        <w:rPr>
          <w:rFonts w:ascii="黑体" w:hAnsi="黑体" w:eastAsia="黑体"/>
          <w:szCs w:val="32"/>
        </w:rPr>
      </w:pPr>
      <w:r>
        <w:rPr>
          <w:rFonts w:hint="eastAsia" w:ascii="黑体" w:hAnsi="黑体" w:eastAsia="黑体"/>
          <w:szCs w:val="32"/>
        </w:rPr>
        <w:t>三、一般公共预算基本支出情况</w:t>
      </w:r>
    </w:p>
    <w:p>
      <w:pPr>
        <w:ind w:firstLine="640" w:firstLineChars="200"/>
        <w:rPr>
          <w:rFonts w:ascii="仿宋" w:hAnsi="仿宋" w:eastAsia="仿宋"/>
          <w:szCs w:val="32"/>
        </w:rPr>
      </w:pPr>
      <w:r>
        <w:rPr>
          <w:rFonts w:hint="eastAsia" w:ascii="仿宋" w:hAnsi="仿宋" w:eastAsia="仿宋"/>
          <w:szCs w:val="32"/>
        </w:rPr>
        <w:t>2020年本部门一般公共预算基本支出67.23万元，其中：人员经费64.43万元，主要包括：基本工资、津贴补贴、绩效工资、机关事业单位基本养老保险缴费、医疗保险缴费、其他社会保障缴费、住房公积金、退休费；公用经费2.8万元，主要包括：办公费</w:t>
      </w:r>
      <w:r>
        <w:rPr>
          <w:rFonts w:hint="eastAsia" w:ascii="仿宋" w:hAnsi="仿宋" w:eastAsia="仿宋"/>
          <w:szCs w:val="32"/>
          <w:lang w:val="en-US" w:eastAsia="zh-CN"/>
        </w:rPr>
        <w:t>等</w:t>
      </w:r>
      <w:r>
        <w:rPr>
          <w:rFonts w:hint="eastAsia" w:ascii="仿宋" w:hAnsi="仿宋" w:eastAsia="仿宋"/>
          <w:szCs w:val="32"/>
        </w:rPr>
        <w:t>。</w:t>
      </w:r>
    </w:p>
    <w:p>
      <w:pPr>
        <w:ind w:firstLine="640" w:firstLineChars="200"/>
        <w:rPr>
          <w:rFonts w:ascii="黑体" w:hAnsi="黑体" w:eastAsia="黑体"/>
          <w:szCs w:val="32"/>
        </w:rPr>
      </w:pPr>
      <w:r>
        <w:rPr>
          <w:rFonts w:hint="eastAsia" w:ascii="黑体" w:hAnsi="黑体" w:eastAsia="黑体"/>
          <w:szCs w:val="32"/>
        </w:rPr>
        <w:t>四、机关运行经费安排情况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20年本部门机关运行经费安排2.8万元，主要用于保障机关机构正常运转及正常履职需要的办公费</w:t>
      </w:r>
      <w:r>
        <w:rPr>
          <w:rFonts w:hint="eastAsia" w:ascii="仿宋" w:hAnsi="仿宋" w:eastAsia="仿宋"/>
          <w:szCs w:val="32"/>
          <w:lang w:val="en-US" w:eastAsia="zh-CN"/>
        </w:rPr>
        <w:t>等方面</w:t>
      </w:r>
      <w:r>
        <w:rPr>
          <w:rFonts w:hint="eastAsia" w:ascii="仿宋" w:hAnsi="仿宋" w:eastAsia="仿宋"/>
          <w:szCs w:val="32"/>
        </w:rPr>
        <w:t>。</w:t>
      </w:r>
      <w:r>
        <w:rPr>
          <w:rFonts w:hint="eastAsia" w:ascii="仿宋" w:hAnsi="仿宋" w:eastAsia="仿宋"/>
          <w:szCs w:val="32"/>
          <w:lang w:val="en-US" w:eastAsia="zh-CN"/>
        </w:rPr>
        <w:t>与上年持平</w:t>
      </w:r>
      <w:r>
        <w:rPr>
          <w:rFonts w:hint="eastAsia" w:ascii="仿宋" w:hAnsi="仿宋" w:eastAsia="仿宋"/>
          <w:szCs w:val="32"/>
        </w:rPr>
        <w:t>，主要原因是深入贯彻落实中央八项规定和厉行节约有关精神。</w:t>
      </w:r>
    </w:p>
    <w:p>
      <w:pPr>
        <w:ind w:firstLine="640" w:firstLineChars="200"/>
        <w:rPr>
          <w:rFonts w:ascii="黑体" w:hAnsi="黑体" w:eastAsia="黑体"/>
          <w:szCs w:val="32"/>
        </w:rPr>
      </w:pPr>
      <w:r>
        <w:rPr>
          <w:rFonts w:hint="eastAsia" w:ascii="黑体" w:hAnsi="黑体" w:eastAsia="黑体"/>
          <w:szCs w:val="32"/>
        </w:rPr>
        <w:t>五、“三公”经费安排情况</w:t>
      </w:r>
    </w:p>
    <w:p>
      <w:pPr>
        <w:ind w:firstLine="640" w:firstLineChars="200"/>
        <w:rPr>
          <w:rFonts w:ascii="仿宋" w:hAnsi="仿宋" w:eastAsia="仿宋"/>
          <w:szCs w:val="32"/>
        </w:rPr>
      </w:pPr>
      <w:r>
        <w:rPr>
          <w:rFonts w:ascii="仿宋" w:hAnsi="仿宋" w:eastAsia="仿宋"/>
          <w:szCs w:val="32"/>
        </w:rPr>
        <w:t>20</w:t>
      </w:r>
      <w:r>
        <w:rPr>
          <w:rFonts w:hint="eastAsia" w:ascii="仿宋" w:hAnsi="仿宋" w:eastAsia="仿宋"/>
          <w:szCs w:val="32"/>
        </w:rPr>
        <w:t>20年本部门“三公”经费预算0万元，</w:t>
      </w:r>
      <w:r>
        <w:rPr>
          <w:rFonts w:hint="eastAsia" w:ascii="仿宋" w:hAnsi="仿宋" w:eastAsia="仿宋"/>
          <w:szCs w:val="32"/>
          <w:lang w:val="en-US" w:eastAsia="zh-CN"/>
        </w:rPr>
        <w:t>与上年持平</w:t>
      </w:r>
      <w:r>
        <w:rPr>
          <w:rFonts w:hint="eastAsia" w:ascii="仿宋" w:hAnsi="仿宋" w:eastAsia="仿宋"/>
          <w:szCs w:val="32"/>
        </w:rPr>
        <w:t>，主要原因是由于公车改革后，本单位无公务用车，以及严格执行相关规定，厉行勤俭节约，压减“三公”经费。</w:t>
      </w:r>
    </w:p>
    <w:p>
      <w:pPr>
        <w:ind w:firstLine="640" w:firstLineChars="200"/>
        <w:rPr>
          <w:rFonts w:ascii="仿宋" w:hAnsi="仿宋" w:eastAsia="仿宋"/>
          <w:szCs w:val="32"/>
        </w:rPr>
      </w:pPr>
      <w:r>
        <w:rPr>
          <w:rFonts w:hint="eastAsia" w:ascii="仿宋" w:hAnsi="仿宋" w:eastAsia="仿宋"/>
          <w:szCs w:val="32"/>
        </w:rPr>
        <w:t>1.因公出国（境）费0万元；</w:t>
      </w:r>
      <w:r>
        <w:rPr>
          <w:rFonts w:ascii="仿宋" w:hAnsi="仿宋" w:eastAsia="仿宋"/>
          <w:szCs w:val="32"/>
        </w:rPr>
        <w:t xml:space="preserve"> </w:t>
      </w:r>
    </w:p>
    <w:p>
      <w:pPr>
        <w:ind w:firstLine="640" w:firstLineChars="200"/>
        <w:rPr>
          <w:rFonts w:ascii="仿宋" w:hAnsi="仿宋" w:eastAsia="仿宋"/>
          <w:szCs w:val="32"/>
        </w:rPr>
      </w:pPr>
      <w:r>
        <w:rPr>
          <w:rFonts w:hint="eastAsia" w:ascii="仿宋" w:hAnsi="仿宋" w:eastAsia="仿宋"/>
          <w:szCs w:val="32"/>
        </w:rPr>
        <w:t>2.公务用车购置及运行费0万元，其中：公务用车购置0万元，公务用车运行费0万元。</w:t>
      </w:r>
    </w:p>
    <w:p>
      <w:pPr>
        <w:ind w:firstLine="640" w:firstLineChars="200"/>
        <w:rPr>
          <w:rFonts w:ascii="仿宋" w:hAnsi="仿宋" w:eastAsia="仿宋"/>
          <w:szCs w:val="32"/>
        </w:rPr>
      </w:pPr>
      <w:r>
        <w:rPr>
          <w:rFonts w:hint="eastAsia" w:ascii="仿宋" w:hAnsi="仿宋" w:eastAsia="仿宋"/>
          <w:szCs w:val="32"/>
        </w:rPr>
        <w:t>3.公务接待费0万元。</w:t>
      </w:r>
    </w:p>
    <w:p>
      <w:pPr>
        <w:ind w:firstLine="640" w:firstLineChars="200"/>
        <w:rPr>
          <w:rFonts w:ascii="仿宋" w:hAnsi="仿宋" w:eastAsia="仿宋"/>
          <w:szCs w:val="32"/>
        </w:rPr>
      </w:pPr>
      <w:r>
        <w:rPr>
          <w:rFonts w:hint="eastAsia" w:ascii="黑体" w:hAnsi="黑体" w:eastAsia="黑体"/>
          <w:szCs w:val="32"/>
        </w:rPr>
        <w:t>六、政府采购安排情况</w:t>
      </w:r>
    </w:p>
    <w:p>
      <w:pPr>
        <w:ind w:firstLine="640" w:firstLineChars="200"/>
        <w:rPr>
          <w:rFonts w:ascii="仿宋" w:hAnsi="仿宋" w:eastAsia="仿宋"/>
          <w:szCs w:val="32"/>
        </w:rPr>
      </w:pPr>
      <w:r>
        <w:rPr>
          <w:rFonts w:hint="eastAsia" w:ascii="仿宋" w:hAnsi="仿宋" w:eastAsia="仿宋"/>
          <w:szCs w:val="32"/>
        </w:rPr>
        <w:t>2020年本部门无政府采购预算安排。</w:t>
      </w:r>
    </w:p>
    <w:p>
      <w:pPr>
        <w:ind w:firstLine="640" w:firstLineChars="200"/>
        <w:rPr>
          <w:rFonts w:ascii="黑体" w:hAnsi="黑体" w:eastAsia="黑体"/>
          <w:szCs w:val="32"/>
        </w:rPr>
      </w:pPr>
      <w:r>
        <w:rPr>
          <w:rFonts w:hint="eastAsia" w:ascii="黑体" w:hAnsi="黑体" w:eastAsia="黑体"/>
          <w:szCs w:val="32"/>
        </w:rPr>
        <w:t>七、政府性基金预算安排情况</w:t>
      </w:r>
    </w:p>
    <w:p>
      <w:pPr>
        <w:ind w:firstLine="640" w:firstLineChars="200"/>
        <w:rPr>
          <w:rFonts w:ascii="仿宋" w:hAnsi="仿宋" w:eastAsia="仿宋"/>
          <w:szCs w:val="32"/>
        </w:rPr>
      </w:pPr>
      <w:r>
        <w:rPr>
          <w:rFonts w:hint="eastAsia" w:ascii="仿宋" w:hAnsi="仿宋" w:eastAsia="仿宋" w:cs="仿宋"/>
          <w:sz w:val="32"/>
          <w:szCs w:val="32"/>
          <w:lang w:val="en-US" w:eastAsia="zh-CN"/>
        </w:rPr>
        <w:t>本部门无政府性基金预算收支安排，较上年无变动。</w:t>
      </w:r>
      <w:bookmarkStart w:id="0" w:name="_GoBack"/>
      <w:bookmarkEnd w:id="0"/>
    </w:p>
    <w:p>
      <w:pPr>
        <w:ind w:firstLine="640" w:firstLineChars="200"/>
        <w:rPr>
          <w:rFonts w:ascii="黑体" w:hAnsi="黑体" w:eastAsia="黑体"/>
          <w:szCs w:val="32"/>
        </w:rPr>
      </w:pPr>
      <w:r>
        <w:rPr>
          <w:rFonts w:hint="eastAsia" w:ascii="黑体" w:hAnsi="黑体" w:eastAsia="黑体"/>
          <w:szCs w:val="32"/>
        </w:rPr>
        <w:t>八、</w:t>
      </w:r>
      <w:r>
        <w:rPr>
          <w:rFonts w:ascii="黑体" w:hAnsi="黑体" w:eastAsia="黑体"/>
          <w:szCs w:val="32"/>
        </w:rPr>
        <w:t>国有资产占用情况</w:t>
      </w:r>
    </w:p>
    <w:p>
      <w:pPr>
        <w:ind w:firstLine="640" w:firstLineChars="200"/>
        <w:rPr>
          <w:rFonts w:ascii="仿宋" w:hAnsi="仿宋" w:eastAsia="仿宋"/>
          <w:szCs w:val="32"/>
        </w:rPr>
      </w:pPr>
      <w:r>
        <w:rPr>
          <w:rFonts w:ascii="仿宋" w:hAnsi="仿宋" w:eastAsia="仿宋"/>
          <w:szCs w:val="32"/>
        </w:rPr>
        <w:t>截止201</w:t>
      </w:r>
      <w:r>
        <w:rPr>
          <w:rFonts w:hint="eastAsia" w:ascii="仿宋" w:hAnsi="仿宋" w:eastAsia="仿宋"/>
          <w:szCs w:val="32"/>
        </w:rPr>
        <w:t>9年末，本部门共有：房屋建筑物0（平方、间）；车辆0辆，其中：一般公务用车0辆、一般执法执勤用车0辆、特种专业技术用车0辆，其他用车0辆；单位价值</w:t>
      </w:r>
      <w:r>
        <w:rPr>
          <w:rFonts w:ascii="仿宋" w:hAnsi="仿宋" w:eastAsia="仿宋"/>
          <w:szCs w:val="32"/>
        </w:rPr>
        <w:t>50</w:t>
      </w:r>
      <w:r>
        <w:rPr>
          <w:rFonts w:hint="eastAsia" w:ascii="仿宋" w:hAnsi="仿宋" w:eastAsia="仿宋"/>
          <w:szCs w:val="32"/>
        </w:rPr>
        <w:t>万元以上通用设备0台（套），单位价值</w:t>
      </w:r>
      <w:r>
        <w:rPr>
          <w:rFonts w:ascii="仿宋" w:hAnsi="仿宋" w:eastAsia="仿宋"/>
          <w:szCs w:val="32"/>
        </w:rPr>
        <w:t>100</w:t>
      </w:r>
      <w:r>
        <w:rPr>
          <w:rFonts w:hint="eastAsia" w:ascii="仿宋" w:hAnsi="仿宋" w:eastAsia="仿宋"/>
          <w:szCs w:val="32"/>
        </w:rPr>
        <w:t>万元以上专用设备0台（套）。</w:t>
      </w:r>
    </w:p>
    <w:p>
      <w:pPr>
        <w:ind w:firstLine="640" w:firstLineChars="200"/>
        <w:rPr>
          <w:rFonts w:ascii="黑体" w:hAnsi="黑体" w:eastAsia="黑体"/>
          <w:szCs w:val="32"/>
        </w:rPr>
      </w:pPr>
      <w:r>
        <w:rPr>
          <w:rFonts w:hint="eastAsia" w:ascii="黑体" w:hAnsi="黑体" w:eastAsia="黑体"/>
          <w:szCs w:val="32"/>
        </w:rPr>
        <w:t>九、预算绩效管理工作开展情况</w:t>
      </w:r>
    </w:p>
    <w:p>
      <w:pPr>
        <w:ind w:firstLine="640" w:firstLineChars="200"/>
        <w:rPr>
          <w:rFonts w:ascii="仿宋" w:hAnsi="仿宋" w:eastAsia="仿宋"/>
          <w:szCs w:val="32"/>
        </w:rPr>
      </w:pPr>
      <w:r>
        <w:rPr>
          <w:rFonts w:hint="eastAsia" w:ascii="仿宋" w:hAnsi="仿宋" w:eastAsia="仿宋"/>
          <w:szCs w:val="32"/>
        </w:rPr>
        <w:t>按照《濮阳市华龙区财政局关于编制区级部门2020-2022年收支规划和2020年部门预算的通知》（华龙财〔2019〕108号）有关全面推进预算绩效管理方面的要求，本部门牢固树立“讲绩效、重绩效、用绩效”的绩效管理理念，年度预算申报时，针对政策及重点项目逐项设立并报送了预算绩效目标。绩效目标设定涉及1个项目，2.4万元，并将以此为基础开展后续预算绩效管理工作，努力建立健全以结果为导向的预算绩效管理工作机制。</w:t>
      </w:r>
    </w:p>
    <w:p>
      <w:pPr>
        <w:ind w:firstLine="640" w:firstLineChars="200"/>
        <w:rPr>
          <w:rFonts w:ascii="黑体" w:hAnsi="黑体" w:eastAsia="黑体"/>
          <w:szCs w:val="32"/>
        </w:rPr>
      </w:pPr>
    </w:p>
    <w:p>
      <w:pPr>
        <w:ind w:firstLine="640" w:firstLineChars="200"/>
        <w:rPr>
          <w:rFonts w:ascii="黑体" w:hAnsi="黑体" w:eastAsia="黑体"/>
          <w:szCs w:val="32"/>
        </w:rPr>
      </w:pP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6"/>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Cs w:val="32"/>
        </w:rPr>
      </w:pPr>
    </w:p>
    <w:p>
      <w:pPr>
        <w:ind w:firstLine="640"/>
        <w:rPr>
          <w:rFonts w:ascii="黑体" w:hAnsi="黑体" w:eastAsia="黑体"/>
          <w:szCs w:val="32"/>
        </w:rPr>
      </w:pPr>
      <w:r>
        <w:rPr>
          <w:rFonts w:hint="eastAsia" w:ascii="黑体" w:hAnsi="黑体" w:eastAsia="黑体"/>
          <w:szCs w:val="32"/>
        </w:rPr>
        <w:t>一、财政拨款收入</w:t>
      </w:r>
    </w:p>
    <w:p>
      <w:pPr>
        <w:ind w:firstLine="640"/>
        <w:rPr>
          <w:rFonts w:ascii="仿宋" w:hAnsi="仿宋" w:eastAsia="仿宋"/>
          <w:szCs w:val="32"/>
        </w:rPr>
      </w:pPr>
      <w:r>
        <w:rPr>
          <w:rFonts w:hint="eastAsia" w:ascii="仿宋" w:hAnsi="仿宋" w:eastAsia="仿宋"/>
          <w:szCs w:val="32"/>
        </w:rPr>
        <w:t>指本级财政当年拨付的资金。</w:t>
      </w:r>
    </w:p>
    <w:p>
      <w:pPr>
        <w:ind w:firstLine="640"/>
        <w:rPr>
          <w:rFonts w:ascii="黑体" w:hAnsi="黑体" w:eastAsia="黑体"/>
          <w:szCs w:val="32"/>
        </w:rPr>
      </w:pPr>
      <w:r>
        <w:rPr>
          <w:rFonts w:hint="eastAsia" w:ascii="黑体" w:hAnsi="黑体" w:eastAsia="黑体"/>
          <w:szCs w:val="32"/>
        </w:rPr>
        <w:t>二、事业收入</w:t>
      </w:r>
    </w:p>
    <w:p>
      <w:pPr>
        <w:ind w:firstLine="640" w:firstLineChars="200"/>
        <w:rPr>
          <w:rFonts w:ascii="仿宋" w:hAnsi="仿宋" w:eastAsia="仿宋"/>
          <w:szCs w:val="32"/>
        </w:rPr>
      </w:pPr>
      <w:r>
        <w:rPr>
          <w:rFonts w:hint="eastAsia" w:ascii="仿宋" w:hAnsi="仿宋" w:eastAsia="仿宋"/>
          <w:szCs w:val="32"/>
        </w:rPr>
        <w:t>指事业单位开展专务活动及辅助所取得的收入。</w:t>
      </w:r>
    </w:p>
    <w:p>
      <w:pPr>
        <w:ind w:firstLine="640"/>
        <w:rPr>
          <w:rFonts w:ascii="黑体" w:hAnsi="黑体" w:eastAsia="黑体"/>
          <w:szCs w:val="32"/>
        </w:rPr>
      </w:pPr>
      <w:r>
        <w:rPr>
          <w:rFonts w:hint="eastAsia" w:ascii="黑体" w:hAnsi="黑体" w:eastAsia="黑体"/>
          <w:szCs w:val="32"/>
        </w:rPr>
        <w:t>三、其他收入</w:t>
      </w:r>
    </w:p>
    <w:p>
      <w:pPr>
        <w:ind w:firstLine="640" w:firstLineChars="200"/>
        <w:rPr>
          <w:rFonts w:ascii="仿宋" w:hAnsi="仿宋" w:eastAsia="仿宋"/>
          <w:szCs w:val="32"/>
        </w:rPr>
      </w:pPr>
      <w:r>
        <w:rPr>
          <w:rFonts w:hint="eastAsia" w:ascii="仿宋" w:hAnsi="仿宋" w:eastAsia="仿宋"/>
          <w:szCs w:val="32"/>
        </w:rPr>
        <w:t>指除“财政拨款”、“事业收入”、“事业单位经营收入”、“附属单位上缴收入”等以外的收入。</w:t>
      </w:r>
    </w:p>
    <w:p>
      <w:pPr>
        <w:ind w:firstLine="640"/>
        <w:rPr>
          <w:rFonts w:ascii="黑体" w:hAnsi="黑体" w:eastAsia="黑体"/>
          <w:szCs w:val="32"/>
        </w:rPr>
      </w:pPr>
      <w:r>
        <w:rPr>
          <w:rFonts w:hint="eastAsia" w:ascii="黑体" w:hAnsi="黑体" w:eastAsia="黑体"/>
          <w:szCs w:val="32"/>
        </w:rPr>
        <w:t>四、基本支出</w:t>
      </w:r>
    </w:p>
    <w:p>
      <w:pPr>
        <w:ind w:firstLine="640" w:firstLineChars="200"/>
        <w:rPr>
          <w:rFonts w:ascii="仿宋" w:hAnsi="仿宋" w:eastAsia="仿宋"/>
          <w:szCs w:val="32"/>
        </w:rPr>
      </w:pPr>
      <w:r>
        <w:rPr>
          <w:rFonts w:hint="eastAsia" w:ascii="仿宋" w:hAnsi="仿宋" w:eastAsia="仿宋"/>
          <w:szCs w:val="32"/>
        </w:rPr>
        <w:t>指为保障机构正常运转、完成日常工作任务所必需的开支，其内容包括人员经费和日常公用经费两部分。</w:t>
      </w:r>
    </w:p>
    <w:p>
      <w:pPr>
        <w:ind w:firstLine="640"/>
        <w:rPr>
          <w:rFonts w:ascii="黑体" w:hAnsi="黑体" w:eastAsia="黑体"/>
          <w:szCs w:val="32"/>
        </w:rPr>
      </w:pPr>
      <w:r>
        <w:rPr>
          <w:rFonts w:hint="eastAsia" w:ascii="黑体" w:hAnsi="黑体" w:eastAsia="黑体"/>
          <w:szCs w:val="32"/>
        </w:rPr>
        <w:t>五、项目支出</w:t>
      </w:r>
    </w:p>
    <w:p>
      <w:pPr>
        <w:ind w:firstLine="640" w:firstLineChars="200"/>
        <w:rPr>
          <w:rFonts w:ascii="仿宋" w:hAnsi="仿宋" w:eastAsia="仿宋"/>
          <w:szCs w:val="32"/>
        </w:rPr>
      </w:pPr>
      <w:r>
        <w:rPr>
          <w:rFonts w:hint="eastAsia" w:ascii="仿宋" w:hAnsi="仿宋" w:eastAsia="仿宋"/>
          <w:szCs w:val="32"/>
        </w:rPr>
        <w:t>指在基本支出之外，为完成特定的行政工作任务或事业发展目标所发生的支出。</w:t>
      </w:r>
    </w:p>
    <w:p>
      <w:pPr>
        <w:ind w:firstLine="640"/>
        <w:rPr>
          <w:rFonts w:ascii="黑体" w:hAnsi="黑体" w:eastAsia="黑体"/>
          <w:szCs w:val="32"/>
        </w:rPr>
      </w:pPr>
      <w:r>
        <w:rPr>
          <w:rFonts w:hint="eastAsia" w:ascii="黑体" w:hAnsi="黑体" w:eastAsia="黑体"/>
          <w:szCs w:val="32"/>
        </w:rPr>
        <w:t>六、机关运行经费</w:t>
      </w:r>
    </w:p>
    <w:p>
      <w:pPr>
        <w:ind w:firstLine="640" w:firstLineChars="200"/>
        <w:rPr>
          <w:rFonts w:ascii="仿宋" w:hAnsi="仿宋" w:eastAsia="仿宋"/>
          <w:szCs w:val="32"/>
        </w:rPr>
      </w:pPr>
      <w:r>
        <w:rPr>
          <w:rFonts w:hint="eastAsia" w:ascii="仿宋" w:hAnsi="仿宋" w:eastAsia="仿宋"/>
          <w:szCs w:val="32"/>
        </w:rPr>
        <w:t>指为保障行政单位（含参照公务员法管理的事业单位）正常运转及正常履职需要的支出，包括办公费、印刷费、“三公”经费、差旅费、会议费、日常维修费、办公用房水电费、办公用房取暖费、办公用房物业管理费、公务用车运行维护费以及其他费用。</w:t>
      </w:r>
    </w:p>
    <w:p>
      <w:pPr>
        <w:ind w:firstLine="640"/>
        <w:rPr>
          <w:rFonts w:ascii="黑体" w:hAnsi="黑体" w:eastAsia="黑体"/>
          <w:szCs w:val="32"/>
        </w:rPr>
      </w:pPr>
      <w:r>
        <w:rPr>
          <w:rFonts w:hint="eastAsia" w:ascii="黑体" w:hAnsi="黑体" w:eastAsia="黑体"/>
          <w:szCs w:val="32"/>
        </w:rPr>
        <w:t>七、“三公”经费</w:t>
      </w:r>
    </w:p>
    <w:p>
      <w:pPr>
        <w:ind w:firstLine="640" w:firstLineChars="200"/>
        <w:rPr>
          <w:rFonts w:ascii="仿宋" w:hAnsi="仿宋" w:eastAsia="仿宋"/>
          <w:szCs w:val="32"/>
        </w:rPr>
      </w:pPr>
      <w:r>
        <w:rPr>
          <w:rFonts w:hint="eastAsia" w:ascii="仿宋" w:hAnsi="仿宋" w:eastAsia="仿宋"/>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decorative"/>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8240;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v:path/>
          <v:fill on="f" focussize="0,0"/>
          <v:stroke on="f" weight="0.5pt" joinstyle="miter"/>
          <v:imagedata o:title=""/>
          <o:lock v:ext="edit"/>
          <v:textbox inset="0mm,0mm,0mm,0mm" style="mso-fit-shape-to-text:t;">
            <w:txbxContent>
              <w:p>
                <w:pPr>
                  <w:pStyle w:val="4"/>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- 5 -</w:t>
                </w:r>
                <w:r>
                  <w:rPr>
                    <w:rFonts w:hint="eastAsia"/>
                    <w:sz w:val="21"/>
                    <w:szCs w:val="21"/>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25FAC"/>
    <w:rsid w:val="0000486D"/>
    <w:rsid w:val="000A7505"/>
    <w:rsid w:val="000B392C"/>
    <w:rsid w:val="000B54BD"/>
    <w:rsid w:val="00125FAC"/>
    <w:rsid w:val="00127F6F"/>
    <w:rsid w:val="00162A29"/>
    <w:rsid w:val="001852DE"/>
    <w:rsid w:val="001965F5"/>
    <w:rsid w:val="00196E05"/>
    <w:rsid w:val="001B31A3"/>
    <w:rsid w:val="00207623"/>
    <w:rsid w:val="0024750C"/>
    <w:rsid w:val="002A397A"/>
    <w:rsid w:val="002C09C2"/>
    <w:rsid w:val="00334DFB"/>
    <w:rsid w:val="00347C04"/>
    <w:rsid w:val="00377211"/>
    <w:rsid w:val="003838FD"/>
    <w:rsid w:val="003C0C15"/>
    <w:rsid w:val="0042044E"/>
    <w:rsid w:val="00461A02"/>
    <w:rsid w:val="004A3479"/>
    <w:rsid w:val="004E79D5"/>
    <w:rsid w:val="0051511D"/>
    <w:rsid w:val="00583109"/>
    <w:rsid w:val="005C4BFD"/>
    <w:rsid w:val="005E427E"/>
    <w:rsid w:val="0060448E"/>
    <w:rsid w:val="00612ECF"/>
    <w:rsid w:val="006540EE"/>
    <w:rsid w:val="00716CB5"/>
    <w:rsid w:val="0072022D"/>
    <w:rsid w:val="00724839"/>
    <w:rsid w:val="0079728C"/>
    <w:rsid w:val="007C5FD2"/>
    <w:rsid w:val="007C684E"/>
    <w:rsid w:val="007C732E"/>
    <w:rsid w:val="00845860"/>
    <w:rsid w:val="00865D9C"/>
    <w:rsid w:val="00867594"/>
    <w:rsid w:val="00884604"/>
    <w:rsid w:val="008964DE"/>
    <w:rsid w:val="008A08E8"/>
    <w:rsid w:val="008A2F34"/>
    <w:rsid w:val="008A7BF1"/>
    <w:rsid w:val="008D7DD2"/>
    <w:rsid w:val="008E57A8"/>
    <w:rsid w:val="00925F66"/>
    <w:rsid w:val="00975602"/>
    <w:rsid w:val="00976444"/>
    <w:rsid w:val="00976CEB"/>
    <w:rsid w:val="00985F44"/>
    <w:rsid w:val="009A1FE2"/>
    <w:rsid w:val="00A02B5D"/>
    <w:rsid w:val="00B21E5F"/>
    <w:rsid w:val="00B62460"/>
    <w:rsid w:val="00BC0D2F"/>
    <w:rsid w:val="00C15DCD"/>
    <w:rsid w:val="00C56A03"/>
    <w:rsid w:val="00D56ECE"/>
    <w:rsid w:val="00D96DF9"/>
    <w:rsid w:val="00DA4FD4"/>
    <w:rsid w:val="00DF06AF"/>
    <w:rsid w:val="00E56EAF"/>
    <w:rsid w:val="00E72D14"/>
    <w:rsid w:val="00F34146"/>
    <w:rsid w:val="00F97444"/>
    <w:rsid w:val="00FC2311"/>
    <w:rsid w:val="00FD4637"/>
    <w:rsid w:val="00FE26A6"/>
    <w:rsid w:val="06DF4342"/>
    <w:rsid w:val="43234712"/>
    <w:rsid w:val="537D4091"/>
    <w:rsid w:val="740F6D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paragraph" w:styleId="2">
    <w:name w:val="heading 1"/>
    <w:basedOn w:val="1"/>
    <w:next w:val="1"/>
    <w:link w:val="9"/>
    <w:qFormat/>
    <w:uiPriority w:val="9"/>
    <w:pPr>
      <w:jc w:val="center"/>
      <w:outlineLvl w:val="0"/>
    </w:pPr>
    <w:rPr>
      <w:rFonts w:ascii="方正小标宋_GBK" w:eastAsia="方正小标宋_GBK"/>
      <w:sz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标题 1 Char"/>
    <w:basedOn w:val="8"/>
    <w:link w:val="2"/>
    <w:uiPriority w:val="9"/>
    <w:rPr>
      <w:rFonts w:ascii="方正小标宋_GBK" w:eastAsia="方正小标宋_GBK"/>
      <w:sz w:val="44"/>
    </w:rPr>
  </w:style>
  <w:style w:type="character" w:customStyle="1" w:styleId="10">
    <w:name w:val="页眉 Char"/>
    <w:basedOn w:val="8"/>
    <w:link w:val="5"/>
    <w:qFormat/>
    <w:uiPriority w:val="99"/>
    <w:rPr>
      <w:rFonts w:ascii="仿宋_GB2312" w:eastAsia="仿宋_GB2312"/>
      <w:sz w:val="18"/>
      <w:szCs w:val="18"/>
    </w:rPr>
  </w:style>
  <w:style w:type="character" w:customStyle="1" w:styleId="11">
    <w:name w:val="页脚 Char"/>
    <w:basedOn w:val="8"/>
    <w:link w:val="4"/>
    <w:qFormat/>
    <w:uiPriority w:val="99"/>
    <w:rPr>
      <w:rFonts w:ascii="仿宋_GB2312" w:eastAsia="仿宋_GB2312"/>
      <w:sz w:val="18"/>
      <w:szCs w:val="18"/>
    </w:rPr>
  </w:style>
  <w:style w:type="paragraph" w:customStyle="1" w:styleId="12">
    <w:name w:val="List Paragraph"/>
    <w:basedOn w:val="1"/>
    <w:qFormat/>
    <w:uiPriority w:val="34"/>
    <w:pPr>
      <w:ind w:firstLine="420" w:firstLineChars="200"/>
    </w:pPr>
  </w:style>
  <w:style w:type="character" w:customStyle="1" w:styleId="13">
    <w:name w:val="批注框文本 Char"/>
    <w:basedOn w:val="8"/>
    <w:link w:val="3"/>
    <w:semiHidden/>
    <w:qFormat/>
    <w:uiPriority w:val="99"/>
    <w:rPr>
      <w:rFonts w:ascii="仿宋_GB2312" w:eastAsia="仿宋_GB231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327</Words>
  <Characters>1865</Characters>
  <Lines>15</Lines>
  <Paragraphs>4</Paragraphs>
  <TotalTime>0</TotalTime>
  <ScaleCrop>false</ScaleCrop>
  <LinksUpToDate>false</LinksUpToDate>
  <CharactersWithSpaces>2188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2020-03-03T01:56:00Z</dcterms:created>
  <dc:creator>ys-pc</dc:creator>
  <cp:lastModifiedBy>lenovo</cp:lastModifiedBy>
  <cp:lastPrinted>2020-03-03T07:59:00Z</cp:lastPrinted>
  <dcterms:modified xsi:type="dcterms:W3CDTF">2020-12-14T08:29:28Z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