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方正小标宋_GBK" w:eastAsia="方正小标宋_GBK"/>
          <w:sz w:val="40"/>
        </w:rPr>
      </w:pPr>
    </w:p>
    <w:p>
      <w:pPr>
        <w:rPr>
          <w:rFonts w:ascii="方正小标宋_GBK" w:eastAsia="方正小标宋_GBK"/>
          <w:sz w:val="40"/>
        </w:rPr>
      </w:pPr>
    </w:p>
    <w:p>
      <w:pPr>
        <w:rPr>
          <w:rFonts w:ascii="方正小标宋_GBK" w:eastAsia="方正小标宋_GBK"/>
          <w:sz w:val="40"/>
        </w:rPr>
      </w:pPr>
    </w:p>
    <w:p>
      <w:pPr>
        <w:jc w:val="center"/>
        <w:rPr>
          <w:rFonts w:hint="default" w:ascii="方正小标宋_GBK" w:eastAsia="方正小标宋_GBK"/>
          <w:w w:val="85"/>
          <w:sz w:val="56"/>
          <w:lang w:val="en-US" w:eastAsia="zh-CN"/>
        </w:rPr>
      </w:pPr>
      <w:r>
        <w:rPr>
          <w:rFonts w:hint="eastAsia" w:ascii="方正小标宋_GBK" w:eastAsia="方正小标宋_GBK"/>
          <w:w w:val="85"/>
          <w:sz w:val="56"/>
          <w:lang w:val="en-US" w:eastAsia="zh-CN"/>
        </w:rPr>
        <w:t>中共</w:t>
      </w:r>
      <w:r>
        <w:rPr>
          <w:rFonts w:hint="eastAsia" w:ascii="方正小标宋_GBK" w:eastAsia="方正小标宋_GBK"/>
          <w:w w:val="85"/>
          <w:sz w:val="56"/>
        </w:rPr>
        <w:t>濮阳市华龙区</w:t>
      </w:r>
      <w:r>
        <w:rPr>
          <w:rFonts w:hint="eastAsia" w:ascii="方正小标宋_GBK" w:eastAsia="方正小标宋_GBK"/>
          <w:w w:val="85"/>
          <w:sz w:val="56"/>
          <w:lang w:val="en-US" w:eastAsia="zh-CN"/>
        </w:rPr>
        <w:t>委宣传部</w:t>
      </w:r>
    </w:p>
    <w:p>
      <w:pPr>
        <w:jc w:val="center"/>
        <w:rPr>
          <w:rFonts w:ascii="方正小标宋_GBK" w:eastAsia="方正小标宋_GBK"/>
          <w:spacing w:val="-20"/>
          <w:sz w:val="44"/>
        </w:rPr>
      </w:pPr>
      <w:r>
        <w:rPr>
          <w:rFonts w:hint="eastAsia" w:ascii="方正小标宋_GBK" w:eastAsia="方正小标宋_GBK"/>
          <w:w w:val="85"/>
          <w:sz w:val="56"/>
        </w:rPr>
        <w:t>20</w:t>
      </w:r>
      <w:r>
        <w:rPr>
          <w:rFonts w:hint="eastAsia" w:ascii="方正小标宋_GBK" w:eastAsia="方正小标宋_GBK"/>
          <w:w w:val="85"/>
          <w:sz w:val="56"/>
          <w:lang w:val="en-US" w:eastAsia="zh-CN"/>
        </w:rPr>
        <w:t>20</w:t>
      </w:r>
      <w:r>
        <w:rPr>
          <w:rFonts w:hint="eastAsia" w:ascii="方正小标宋_GBK" w:eastAsia="方正小标宋_GBK"/>
          <w:w w:val="85"/>
          <w:sz w:val="56"/>
        </w:rPr>
        <w:t>年部门预算公开说明</w:t>
      </w:r>
    </w:p>
    <w:p>
      <w:pPr>
        <w:jc w:val="center"/>
        <w:rPr>
          <w:rFonts w:ascii="方正小标宋_GBK" w:eastAsia="方正小标宋_GBK"/>
          <w:sz w:val="40"/>
        </w:rPr>
      </w:pPr>
    </w:p>
    <w:p>
      <w:pPr>
        <w:jc w:val="center"/>
        <w:rPr>
          <w:rFonts w:ascii="方正小标宋_GBK" w:eastAsia="方正小标宋_GBK"/>
          <w:sz w:val="40"/>
        </w:rPr>
      </w:pPr>
    </w:p>
    <w:p>
      <w:pPr>
        <w:jc w:val="center"/>
        <w:rPr>
          <w:rFonts w:ascii="方正小标宋_GBK" w:eastAsia="方正小标宋_GBK"/>
          <w:sz w:val="40"/>
        </w:rPr>
      </w:pPr>
    </w:p>
    <w:p>
      <w:pPr>
        <w:jc w:val="center"/>
        <w:rPr>
          <w:rFonts w:ascii="方正小标宋_GBK" w:eastAsia="方正小标宋_GBK"/>
          <w:sz w:val="40"/>
        </w:rPr>
      </w:pPr>
    </w:p>
    <w:p>
      <w:pPr>
        <w:jc w:val="center"/>
        <w:rPr>
          <w:rFonts w:ascii="方正小标宋_GBK" w:eastAsia="方正小标宋_GBK"/>
          <w:sz w:val="40"/>
        </w:rPr>
      </w:pPr>
    </w:p>
    <w:p>
      <w:pPr>
        <w:jc w:val="center"/>
        <w:rPr>
          <w:rFonts w:ascii="方正小标宋_GBK" w:eastAsia="方正小标宋_GBK"/>
          <w:sz w:val="40"/>
        </w:rPr>
      </w:pPr>
    </w:p>
    <w:p>
      <w:pPr>
        <w:jc w:val="center"/>
        <w:rPr>
          <w:rFonts w:ascii="方正小标宋_GBK" w:eastAsia="方正小标宋_GBK"/>
          <w:sz w:val="40"/>
        </w:rPr>
      </w:pPr>
    </w:p>
    <w:p>
      <w:pPr>
        <w:jc w:val="both"/>
        <w:rPr>
          <w:rFonts w:ascii="楷体_GB2312" w:eastAsia="楷体_GB2312"/>
          <w:b/>
          <w:w w:val="90"/>
          <w:sz w:val="40"/>
        </w:rPr>
      </w:pPr>
    </w:p>
    <w:p>
      <w:pPr>
        <w:jc w:val="center"/>
        <w:rPr>
          <w:rFonts w:ascii="方正小标宋_GBK" w:eastAsia="方正小标宋_GBK"/>
          <w:sz w:val="40"/>
        </w:rPr>
      </w:pPr>
      <w:r>
        <w:rPr>
          <w:rFonts w:hint="eastAsia" w:ascii="楷体_GB2312" w:eastAsia="楷体_GB2312"/>
          <w:b/>
          <w:w w:val="90"/>
          <w:sz w:val="40"/>
        </w:rPr>
        <w:t>二</w:t>
      </w:r>
      <w:r>
        <w:rPr>
          <w:rFonts w:hint="eastAsia" w:ascii="宋体" w:hAnsi="宋体" w:cs="宋体"/>
          <w:b/>
          <w:w w:val="90"/>
          <w:sz w:val="40"/>
        </w:rPr>
        <w:t>〇</w:t>
      </w:r>
      <w:r>
        <w:rPr>
          <w:rFonts w:hint="eastAsia" w:ascii="楷体_GB2312" w:hAnsi="楷体_GB2312" w:eastAsia="楷体_GB2312" w:cs="楷体_GB2312"/>
          <w:b/>
          <w:w w:val="90"/>
          <w:sz w:val="40"/>
          <w:lang w:val="en-US" w:eastAsia="zh-CN"/>
        </w:rPr>
        <w:t>二</w:t>
      </w:r>
      <w:r>
        <w:rPr>
          <w:rFonts w:hint="eastAsia" w:ascii="宋体" w:hAnsi="宋体" w:cs="宋体"/>
          <w:b/>
          <w:w w:val="90"/>
          <w:sz w:val="40"/>
        </w:rPr>
        <w:t>〇</w:t>
      </w:r>
      <w:r>
        <w:rPr>
          <w:rFonts w:hint="eastAsia" w:ascii="楷体_GB2312" w:hAnsi="楷体_GB2312" w:eastAsia="楷体_GB2312" w:cs="楷体_GB2312"/>
          <w:b/>
          <w:w w:val="90"/>
          <w:sz w:val="40"/>
        </w:rPr>
        <w:t>年</w:t>
      </w:r>
      <w:r>
        <w:rPr>
          <w:rFonts w:hint="eastAsia" w:ascii="楷体_GB2312" w:hAnsi="楷体_GB2312" w:eastAsia="楷体_GB2312" w:cs="楷体_GB2312"/>
          <w:b/>
          <w:w w:val="90"/>
          <w:sz w:val="40"/>
          <w:lang w:val="en-US" w:eastAsia="zh-CN"/>
        </w:rPr>
        <w:t>六</w:t>
      </w:r>
      <w:r>
        <w:rPr>
          <w:rFonts w:hint="eastAsia" w:ascii="楷体_GB2312" w:hAnsi="楷体_GB2312" w:eastAsia="楷体_GB2312" w:cs="楷体_GB2312"/>
          <w:b/>
          <w:w w:val="90"/>
          <w:sz w:val="40"/>
        </w:rPr>
        <w:t>月</w:t>
      </w:r>
    </w:p>
    <w:p>
      <w:pPr>
        <w:jc w:val="both"/>
        <w:rPr>
          <w:rFonts w:ascii="方正小标宋_GBK" w:eastAsia="方正小标宋_GBK"/>
          <w:sz w:val="32"/>
        </w:rPr>
      </w:pPr>
    </w:p>
    <w:p>
      <w:pPr>
        <w:pStyle w:val="4"/>
        <w:topLinePunct/>
        <w:spacing w:before="0" w:beforeAutospacing="0" w:after="0" w:afterAutospacing="0" w:line="360" w:lineRule="auto"/>
        <w:jc w:val="center"/>
        <w:rPr>
          <w:rFonts w:ascii="黑体" w:hAnsi="黑体" w:eastAsia="黑体"/>
          <w:color w:val="000000"/>
          <w:sz w:val="44"/>
          <w:szCs w:val="32"/>
        </w:rPr>
      </w:pPr>
      <w:r>
        <w:rPr>
          <w:rFonts w:hint="eastAsia" w:ascii="黑体" w:hAnsi="黑体" w:eastAsia="黑体"/>
          <w:color w:val="000000"/>
          <w:sz w:val="44"/>
          <w:szCs w:val="32"/>
        </w:rPr>
        <w:t>目 录</w:t>
      </w:r>
    </w:p>
    <w:p>
      <w:pPr>
        <w:pStyle w:val="4"/>
        <w:topLinePunct/>
        <w:spacing w:before="0" w:beforeAutospacing="0" w:after="0" w:afterAutospacing="0" w:line="360" w:lineRule="auto"/>
        <w:jc w:val="center"/>
        <w:rPr>
          <w:rFonts w:ascii="黑体" w:hAnsi="黑体" w:eastAsia="黑体"/>
          <w:color w:val="000000"/>
          <w:sz w:val="36"/>
          <w:szCs w:val="32"/>
        </w:rPr>
      </w:pPr>
    </w:p>
    <w:p>
      <w:pPr>
        <w:pStyle w:val="4"/>
        <w:overflowPunct w:val="0"/>
        <w:topLinePunct/>
        <w:spacing w:before="0" w:beforeAutospacing="0" w:after="0" w:afterAutospacing="0" w:line="360" w:lineRule="auto"/>
        <w:ind w:firstLine="640"/>
        <w:jc w:val="both"/>
        <w:rPr>
          <w:color w:val="000000"/>
        </w:rPr>
      </w:pPr>
      <w:r>
        <w:rPr>
          <w:rFonts w:hint="eastAsia" w:ascii="黑体" w:hAnsi="黑体" w:eastAsia="黑体"/>
          <w:color w:val="000000"/>
          <w:sz w:val="32"/>
          <w:szCs w:val="32"/>
        </w:rPr>
        <w:t>第一部分</w:t>
      </w:r>
      <w:r>
        <w:rPr>
          <w:rFonts w:hint="eastAsia"/>
          <w:color w:val="000000"/>
          <w:sz w:val="32"/>
          <w:szCs w:val="32"/>
        </w:rPr>
        <w:t xml:space="preserve"> </w:t>
      </w:r>
      <w:r>
        <w:rPr>
          <w:rFonts w:hint="eastAsia" w:ascii="黑体" w:hAnsi="黑体" w:eastAsia="黑体"/>
          <w:color w:val="000000"/>
          <w:sz w:val="32"/>
          <w:szCs w:val="32"/>
        </w:rPr>
        <w:t>部门概况</w:t>
      </w:r>
      <w:r>
        <w:rPr>
          <w:rFonts w:hint="eastAsia"/>
          <w:color w:val="000000"/>
          <w:sz w:val="32"/>
          <w:szCs w:val="32"/>
        </w:rPr>
        <w:t> </w:t>
      </w:r>
    </w:p>
    <w:p>
      <w:pPr>
        <w:pStyle w:val="4"/>
        <w:overflowPunct w:val="0"/>
        <w:topLinePunct/>
        <w:spacing w:before="0" w:beforeAutospacing="0" w:after="0" w:afterAutospacing="0" w:line="360" w:lineRule="auto"/>
        <w:ind w:firstLine="960"/>
        <w:rPr>
          <w:color w:val="000000"/>
        </w:rPr>
      </w:pPr>
      <w:r>
        <w:rPr>
          <w:rFonts w:hint="eastAsia" w:ascii="仿宋_GB2312" w:eastAsia="仿宋_GB2312"/>
          <w:color w:val="000000"/>
          <w:sz w:val="32"/>
          <w:szCs w:val="32"/>
        </w:rPr>
        <w:t>一、部门主要职责</w:t>
      </w:r>
    </w:p>
    <w:p>
      <w:pPr>
        <w:pStyle w:val="4"/>
        <w:overflowPunct w:val="0"/>
        <w:topLinePunct/>
        <w:spacing w:before="0" w:beforeAutospacing="0" w:after="0" w:afterAutospacing="0" w:line="360" w:lineRule="auto"/>
        <w:ind w:firstLine="960"/>
        <w:rPr>
          <w:color w:val="000000"/>
        </w:rPr>
      </w:pPr>
      <w:r>
        <w:rPr>
          <w:rFonts w:hint="eastAsia" w:ascii="仿宋_GB2312" w:eastAsia="仿宋_GB2312"/>
          <w:color w:val="000000"/>
          <w:sz w:val="32"/>
          <w:szCs w:val="32"/>
        </w:rPr>
        <w:t>二、机构设置情况</w:t>
      </w:r>
    </w:p>
    <w:p>
      <w:pPr>
        <w:pStyle w:val="4"/>
        <w:overflowPunct w:val="0"/>
        <w:topLinePunct/>
        <w:spacing w:before="0" w:beforeAutospacing="0" w:after="0" w:afterAutospacing="0" w:line="360" w:lineRule="auto"/>
        <w:ind w:firstLine="640"/>
        <w:jc w:val="both"/>
        <w:rPr>
          <w:rFonts w:ascii="黑体" w:hAnsi="黑体" w:eastAsia="黑体"/>
          <w:color w:val="000000"/>
          <w:sz w:val="32"/>
          <w:szCs w:val="32"/>
        </w:rPr>
      </w:pPr>
      <w:r>
        <w:rPr>
          <w:rFonts w:hint="eastAsia" w:ascii="黑体" w:hAnsi="黑体" w:eastAsia="黑体"/>
          <w:color w:val="000000"/>
          <w:sz w:val="32"/>
          <w:szCs w:val="32"/>
        </w:rPr>
        <w:t>第二部分 20</w:t>
      </w:r>
      <w:r>
        <w:rPr>
          <w:rFonts w:hint="eastAsia" w:ascii="黑体" w:hAnsi="黑体" w:eastAsia="黑体"/>
          <w:color w:val="000000"/>
          <w:sz w:val="32"/>
          <w:szCs w:val="32"/>
          <w:lang w:val="en-US" w:eastAsia="zh-CN"/>
        </w:rPr>
        <w:t>20</w:t>
      </w:r>
      <w:r>
        <w:rPr>
          <w:rFonts w:hint="eastAsia" w:ascii="黑体" w:hAnsi="黑体" w:eastAsia="黑体"/>
          <w:color w:val="000000"/>
          <w:sz w:val="32"/>
          <w:szCs w:val="32"/>
        </w:rPr>
        <w:t>年部门预算情况说明</w:t>
      </w:r>
    </w:p>
    <w:p>
      <w:pPr>
        <w:pStyle w:val="4"/>
        <w:overflowPunct w:val="0"/>
        <w:topLinePunct/>
        <w:spacing w:before="0" w:beforeAutospacing="0" w:after="0" w:afterAutospacing="0" w:line="360" w:lineRule="auto"/>
        <w:ind w:firstLine="640"/>
        <w:jc w:val="both"/>
        <w:rPr>
          <w:rFonts w:ascii="黑体" w:hAnsi="黑体" w:eastAsia="黑体"/>
          <w:color w:val="000000"/>
          <w:sz w:val="32"/>
          <w:szCs w:val="32"/>
        </w:rPr>
      </w:pPr>
      <w:r>
        <w:rPr>
          <w:rFonts w:hint="eastAsia" w:ascii="黑体" w:hAnsi="黑体" w:eastAsia="黑体"/>
          <w:color w:val="000000"/>
          <w:sz w:val="32"/>
          <w:szCs w:val="32"/>
        </w:rPr>
        <w:t>第三部分 名词解释</w:t>
      </w:r>
    </w:p>
    <w:p>
      <w:pPr>
        <w:pStyle w:val="4"/>
        <w:overflowPunct w:val="0"/>
        <w:topLinePunct/>
        <w:spacing w:before="0" w:beforeAutospacing="0" w:after="0" w:afterAutospacing="0" w:line="360" w:lineRule="auto"/>
        <w:ind w:firstLine="640"/>
        <w:jc w:val="both"/>
        <w:rPr>
          <w:color w:val="000000"/>
        </w:rPr>
      </w:pPr>
      <w:r>
        <w:rPr>
          <w:rFonts w:hint="eastAsia" w:ascii="黑体" w:hAnsi="黑体" w:eastAsia="黑体"/>
          <w:color w:val="000000"/>
          <w:sz w:val="32"/>
          <w:szCs w:val="32"/>
        </w:rPr>
        <w:t>附件：</w:t>
      </w:r>
      <w:r>
        <w:rPr>
          <w:rFonts w:hint="eastAsia" w:ascii="黑体" w:hAnsi="黑体" w:eastAsia="黑体"/>
          <w:color w:val="000000"/>
          <w:sz w:val="32"/>
          <w:szCs w:val="32"/>
          <w:lang w:val="en-US" w:eastAsia="zh-CN"/>
        </w:rPr>
        <w:t>中共</w:t>
      </w:r>
      <w:r>
        <w:rPr>
          <w:rFonts w:hint="eastAsia" w:ascii="黑体" w:hAnsi="黑体" w:eastAsia="黑体"/>
          <w:color w:val="000000"/>
          <w:sz w:val="32"/>
          <w:szCs w:val="32"/>
        </w:rPr>
        <w:t>濮阳市华龙区</w:t>
      </w:r>
      <w:r>
        <w:rPr>
          <w:rFonts w:hint="eastAsia" w:ascii="黑体" w:hAnsi="黑体" w:eastAsia="黑体"/>
          <w:color w:val="000000"/>
          <w:sz w:val="32"/>
          <w:szCs w:val="32"/>
          <w:lang w:val="en-US" w:eastAsia="zh-CN"/>
        </w:rPr>
        <w:t>委宣传部</w:t>
      </w:r>
      <w:r>
        <w:rPr>
          <w:rFonts w:hint="eastAsia" w:ascii="黑体" w:hAnsi="黑体" w:eastAsia="黑体"/>
          <w:color w:val="000000"/>
          <w:sz w:val="32"/>
          <w:szCs w:val="32"/>
        </w:rPr>
        <w:t>20</w:t>
      </w:r>
      <w:r>
        <w:rPr>
          <w:rFonts w:hint="eastAsia" w:ascii="黑体" w:hAnsi="黑体" w:eastAsia="黑体"/>
          <w:color w:val="000000"/>
          <w:sz w:val="32"/>
          <w:szCs w:val="32"/>
          <w:lang w:val="en-US" w:eastAsia="zh-CN"/>
        </w:rPr>
        <w:t>20</w:t>
      </w:r>
      <w:r>
        <w:rPr>
          <w:rFonts w:hint="eastAsia" w:ascii="黑体" w:hAnsi="黑体" w:eastAsia="黑体"/>
          <w:color w:val="000000"/>
          <w:sz w:val="32"/>
          <w:szCs w:val="32"/>
        </w:rPr>
        <w:t>年部门预算表</w:t>
      </w:r>
    </w:p>
    <w:p>
      <w:pPr>
        <w:pStyle w:val="4"/>
        <w:overflowPunct w:val="0"/>
        <w:topLinePunct/>
        <w:spacing w:before="0" w:beforeAutospacing="0" w:after="0" w:afterAutospacing="0" w:line="360" w:lineRule="auto"/>
        <w:ind w:firstLine="960"/>
        <w:rPr>
          <w:color w:val="000000"/>
        </w:rPr>
      </w:pPr>
      <w:r>
        <w:rPr>
          <w:rFonts w:hint="eastAsia" w:ascii="仿宋_GB2312" w:eastAsia="仿宋_GB2312"/>
          <w:color w:val="000000"/>
          <w:sz w:val="32"/>
          <w:szCs w:val="32"/>
        </w:rPr>
        <w:t>一、部门收支总表</w:t>
      </w:r>
    </w:p>
    <w:p>
      <w:pPr>
        <w:pStyle w:val="4"/>
        <w:overflowPunct w:val="0"/>
        <w:topLinePunct/>
        <w:spacing w:before="0" w:beforeAutospacing="0" w:after="0" w:afterAutospacing="0" w:line="360" w:lineRule="auto"/>
        <w:ind w:firstLine="960"/>
        <w:rPr>
          <w:color w:val="000000"/>
        </w:rPr>
      </w:pPr>
      <w:r>
        <w:rPr>
          <w:rFonts w:hint="eastAsia" w:ascii="仿宋_GB2312" w:eastAsia="仿宋_GB2312"/>
          <w:color w:val="000000"/>
          <w:sz w:val="32"/>
          <w:szCs w:val="32"/>
        </w:rPr>
        <w:t>二、部门收入总表</w:t>
      </w:r>
    </w:p>
    <w:p>
      <w:pPr>
        <w:pStyle w:val="4"/>
        <w:overflowPunct w:val="0"/>
        <w:topLinePunct/>
        <w:spacing w:before="0" w:beforeAutospacing="0" w:after="0" w:afterAutospacing="0" w:line="360" w:lineRule="auto"/>
        <w:ind w:firstLine="960"/>
        <w:rPr>
          <w:color w:val="000000"/>
        </w:rPr>
      </w:pPr>
      <w:r>
        <w:rPr>
          <w:rFonts w:hint="eastAsia" w:ascii="仿宋_GB2312" w:eastAsia="仿宋_GB2312"/>
          <w:color w:val="000000"/>
          <w:sz w:val="32"/>
          <w:szCs w:val="32"/>
        </w:rPr>
        <w:t>三、部门支出总表</w:t>
      </w:r>
    </w:p>
    <w:p>
      <w:pPr>
        <w:pStyle w:val="4"/>
        <w:overflowPunct w:val="0"/>
        <w:topLinePunct/>
        <w:spacing w:before="0" w:beforeAutospacing="0" w:after="0" w:afterAutospacing="0" w:line="360" w:lineRule="auto"/>
        <w:ind w:firstLine="960"/>
        <w:rPr>
          <w:color w:val="000000"/>
        </w:rPr>
      </w:pPr>
      <w:r>
        <w:rPr>
          <w:rFonts w:hint="eastAsia" w:ascii="仿宋_GB2312" w:eastAsia="仿宋_GB2312"/>
          <w:color w:val="000000"/>
          <w:sz w:val="32"/>
          <w:szCs w:val="32"/>
        </w:rPr>
        <w:t>四、财政拨款收支总表</w:t>
      </w:r>
    </w:p>
    <w:p>
      <w:pPr>
        <w:pStyle w:val="4"/>
        <w:overflowPunct w:val="0"/>
        <w:topLinePunct/>
        <w:spacing w:before="0" w:beforeAutospacing="0" w:after="0" w:afterAutospacing="0" w:line="360" w:lineRule="auto"/>
        <w:ind w:firstLine="960"/>
        <w:rPr>
          <w:color w:val="000000"/>
        </w:rPr>
      </w:pPr>
      <w:r>
        <w:rPr>
          <w:rFonts w:hint="eastAsia" w:ascii="仿宋_GB2312" w:eastAsia="仿宋_GB2312"/>
          <w:color w:val="000000"/>
          <w:sz w:val="32"/>
          <w:szCs w:val="32"/>
        </w:rPr>
        <w:t>五、一般公共预算支出表</w:t>
      </w:r>
    </w:p>
    <w:p>
      <w:pPr>
        <w:pStyle w:val="4"/>
        <w:overflowPunct w:val="0"/>
        <w:topLinePunct/>
        <w:spacing w:before="0" w:beforeAutospacing="0" w:after="0" w:afterAutospacing="0" w:line="360" w:lineRule="auto"/>
        <w:ind w:firstLine="960"/>
        <w:rPr>
          <w:color w:val="000000"/>
        </w:rPr>
      </w:pPr>
      <w:r>
        <w:rPr>
          <w:rFonts w:hint="eastAsia" w:ascii="仿宋_GB2312" w:eastAsia="仿宋_GB2312"/>
          <w:color w:val="000000"/>
          <w:sz w:val="32"/>
          <w:szCs w:val="32"/>
        </w:rPr>
        <w:t>六、一般公共预算基本支出表</w:t>
      </w:r>
    </w:p>
    <w:p>
      <w:pPr>
        <w:pStyle w:val="4"/>
        <w:overflowPunct w:val="0"/>
        <w:topLinePunct/>
        <w:spacing w:before="0" w:beforeAutospacing="0" w:after="0" w:afterAutospacing="0" w:line="360" w:lineRule="auto"/>
        <w:ind w:firstLine="960"/>
        <w:rPr>
          <w:color w:val="000000"/>
        </w:rPr>
      </w:pPr>
      <w:r>
        <w:rPr>
          <w:rFonts w:hint="eastAsia" w:ascii="仿宋_GB2312" w:eastAsia="仿宋_GB2312"/>
          <w:color w:val="000000"/>
          <w:sz w:val="32"/>
          <w:szCs w:val="32"/>
        </w:rPr>
        <w:t>七、一般公共预算“三公”经费支出表</w:t>
      </w:r>
    </w:p>
    <w:p>
      <w:pPr>
        <w:pStyle w:val="4"/>
        <w:overflowPunct w:val="0"/>
        <w:topLinePunct/>
        <w:spacing w:before="0" w:beforeAutospacing="0" w:after="0" w:afterAutospacing="0" w:line="360" w:lineRule="auto"/>
        <w:ind w:firstLine="960"/>
        <w:rPr>
          <w:color w:val="000000"/>
        </w:rPr>
      </w:pPr>
      <w:r>
        <w:rPr>
          <w:rFonts w:hint="eastAsia" w:ascii="仿宋_GB2312" w:eastAsia="仿宋_GB2312"/>
          <w:color w:val="000000"/>
          <w:sz w:val="32"/>
          <w:szCs w:val="32"/>
        </w:rPr>
        <w:t>八、政府性基金预算支出表</w:t>
      </w:r>
    </w:p>
    <w:p>
      <w:pPr>
        <w:ind w:firstLine="640" w:firstLineChars="200"/>
        <w:rPr>
          <w:rFonts w:ascii="黑体" w:hAnsi="黑体" w:eastAsia="黑体"/>
          <w:sz w:val="32"/>
          <w:szCs w:val="32"/>
        </w:rPr>
      </w:pPr>
    </w:p>
    <w:p>
      <w:pPr>
        <w:rPr>
          <w:rFonts w:hint="eastAsia" w:ascii="黑体" w:hAnsi="黑体" w:eastAsia="黑体"/>
          <w:sz w:val="32"/>
          <w:szCs w:val="32"/>
          <w:lang w:eastAsia="zh-CN"/>
        </w:rPr>
      </w:pPr>
    </w:p>
    <w:p>
      <w:pPr>
        <w:rPr>
          <w:rFonts w:hint="eastAsia" w:ascii="黑体" w:hAnsi="黑体" w:eastAsia="黑体"/>
          <w:sz w:val="32"/>
          <w:szCs w:val="32"/>
          <w:lang w:eastAsia="zh-CN"/>
        </w:rPr>
      </w:pPr>
    </w:p>
    <w:p>
      <w:pPr>
        <w:rPr>
          <w:rFonts w:hint="eastAsia" w:ascii="黑体" w:hAnsi="黑体" w:eastAsia="黑体"/>
          <w:sz w:val="32"/>
          <w:szCs w:val="32"/>
          <w:lang w:eastAsia="zh-CN"/>
        </w:rPr>
      </w:pPr>
    </w:p>
    <w:p>
      <w:pPr>
        <w:rPr>
          <w:rFonts w:hint="eastAsia" w:ascii="黑体" w:hAnsi="黑体" w:eastAsia="黑体"/>
          <w:sz w:val="32"/>
          <w:szCs w:val="32"/>
          <w:lang w:eastAsia="zh-CN"/>
        </w:rPr>
      </w:pPr>
    </w:p>
    <w:p>
      <w:pPr>
        <w:rPr>
          <w:rFonts w:hint="eastAsia" w:ascii="黑体" w:hAnsi="黑体" w:eastAsia="黑体"/>
          <w:sz w:val="32"/>
          <w:szCs w:val="32"/>
          <w:lang w:eastAsia="zh-CN"/>
        </w:rPr>
      </w:pPr>
    </w:p>
    <w:p>
      <w:pPr>
        <w:pStyle w:val="4"/>
        <w:topLinePunct/>
        <w:spacing w:before="0" w:beforeAutospacing="0" w:after="0" w:afterAutospacing="0" w:line="360" w:lineRule="auto"/>
        <w:jc w:val="center"/>
        <w:rPr>
          <w:rFonts w:ascii="Calibri" w:hAnsi="Calibri"/>
          <w:color w:val="000000"/>
          <w:sz w:val="22"/>
          <w:szCs w:val="21"/>
        </w:rPr>
      </w:pPr>
      <w:r>
        <w:rPr>
          <w:rFonts w:hint="eastAsia" w:ascii="黑体" w:hAnsi="黑体" w:eastAsia="黑体"/>
          <w:color w:val="000000"/>
          <w:sz w:val="36"/>
          <w:szCs w:val="32"/>
        </w:rPr>
        <w:t>第一部分</w:t>
      </w:r>
    </w:p>
    <w:p>
      <w:pPr>
        <w:pStyle w:val="4"/>
        <w:topLinePunct/>
        <w:spacing w:before="0" w:beforeAutospacing="0" w:after="0" w:afterAutospacing="0" w:line="360" w:lineRule="auto"/>
        <w:jc w:val="center"/>
        <w:rPr>
          <w:rFonts w:ascii="Calibri" w:hAnsi="Calibri"/>
          <w:color w:val="000000"/>
          <w:sz w:val="22"/>
          <w:szCs w:val="21"/>
        </w:rPr>
      </w:pPr>
      <w:r>
        <w:rPr>
          <w:rFonts w:hint="eastAsia" w:ascii="黑体" w:hAnsi="黑体" w:eastAsia="黑体"/>
          <w:color w:val="000000"/>
          <w:sz w:val="36"/>
          <w:szCs w:val="32"/>
        </w:rPr>
        <w:t>部门概况</w:t>
      </w:r>
    </w:p>
    <w:p>
      <w:pPr>
        <w:ind w:firstLine="640" w:firstLineChars="200"/>
        <w:rPr>
          <w:rFonts w:ascii="黑体" w:hAnsi="黑体" w:eastAsia="黑体"/>
          <w:sz w:val="32"/>
          <w:szCs w:val="32"/>
        </w:rPr>
      </w:pPr>
      <w:r>
        <w:rPr>
          <w:rFonts w:ascii="黑体" w:hAnsi="黑体" w:eastAsia="黑体"/>
          <w:sz w:val="32"/>
          <w:szCs w:val="32"/>
        </w:rPr>
        <w:t> </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黑体" w:hAnsi="黑体" w:eastAsia="黑体"/>
          <w:sz w:val="32"/>
          <w:szCs w:val="32"/>
        </w:rPr>
      </w:pPr>
      <w:r>
        <w:rPr>
          <w:rFonts w:hint="eastAsia" w:ascii="黑体" w:hAnsi="黑体" w:eastAsia="黑体"/>
          <w:sz w:val="32"/>
          <w:szCs w:val="32"/>
          <w:lang w:val="en-US" w:eastAsia="zh-CN"/>
        </w:rPr>
        <w:t>一、</w:t>
      </w:r>
      <w:r>
        <w:rPr>
          <w:rFonts w:hint="eastAsia" w:ascii="黑体" w:hAnsi="黑体" w:eastAsia="黑体"/>
          <w:sz w:val="32"/>
          <w:szCs w:val="32"/>
        </w:rPr>
        <w:t>部门主要职责</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（一）贯彻落实党中央和省委</w:t>
      </w:r>
      <w:r>
        <w:rPr>
          <w:rFonts w:hint="eastAsia" w:ascii="Times New Roman" w:hAnsi="Times New Roman" w:eastAsia="仿宋_GB2312" w:cs="Times New Roman"/>
          <w:sz w:val="32"/>
          <w:szCs w:val="32"/>
        </w:rPr>
        <w:t>、市委</w:t>
      </w:r>
      <w:r>
        <w:rPr>
          <w:rFonts w:ascii="Times New Roman" w:hAnsi="Times New Roman" w:eastAsia="仿宋_GB2312" w:cs="Times New Roman"/>
          <w:sz w:val="32"/>
          <w:szCs w:val="32"/>
        </w:rPr>
        <w:t>宣传思想文化工作重大方针政策，拟订全</w:t>
      </w:r>
      <w:r>
        <w:rPr>
          <w:rFonts w:hint="eastAsia" w:ascii="Times New Roman" w:hAnsi="Times New Roman" w:eastAsia="仿宋_GB2312" w:cs="Times New Roman"/>
          <w:sz w:val="32"/>
          <w:szCs w:val="32"/>
        </w:rPr>
        <w:t>区</w:t>
      </w:r>
      <w:r>
        <w:rPr>
          <w:rFonts w:ascii="Times New Roman" w:hAnsi="Times New Roman" w:eastAsia="仿宋_GB2312" w:cs="Times New Roman"/>
          <w:sz w:val="32"/>
          <w:szCs w:val="32"/>
        </w:rPr>
        <w:t>宣传思想文化事业发展规划，统筹协调推进宣传思想文化领域法治建设，按照</w:t>
      </w:r>
      <w:r>
        <w:rPr>
          <w:rFonts w:hint="eastAsia" w:ascii="Times New Roman" w:hAnsi="Times New Roman" w:eastAsia="仿宋_GB2312" w:cs="Times New Roman"/>
          <w:sz w:val="32"/>
          <w:szCs w:val="32"/>
        </w:rPr>
        <w:t>区</w:t>
      </w:r>
      <w:r>
        <w:rPr>
          <w:rFonts w:ascii="Times New Roman" w:hAnsi="Times New Roman" w:eastAsia="仿宋_GB2312" w:cs="Times New Roman"/>
          <w:sz w:val="32"/>
          <w:szCs w:val="32"/>
        </w:rPr>
        <w:t>委统一部署，协调宣传思想文化系统各部门之间的工作。</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（二）贯彻落实党中央及省委</w:t>
      </w:r>
      <w:r>
        <w:rPr>
          <w:rFonts w:hint="eastAsia" w:ascii="Times New Roman" w:hAnsi="Times New Roman" w:eastAsia="仿宋_GB2312" w:cs="Times New Roman"/>
          <w:sz w:val="32"/>
          <w:szCs w:val="32"/>
        </w:rPr>
        <w:t>、市委</w:t>
      </w:r>
      <w:r>
        <w:rPr>
          <w:rFonts w:ascii="Times New Roman" w:hAnsi="Times New Roman" w:eastAsia="仿宋_GB2312" w:cs="Times New Roman"/>
          <w:sz w:val="32"/>
          <w:szCs w:val="32"/>
        </w:rPr>
        <w:t>关于意识形态工作的决策部署，统筹协调全</w:t>
      </w:r>
      <w:r>
        <w:rPr>
          <w:rFonts w:hint="eastAsia" w:ascii="Times New Roman" w:hAnsi="Times New Roman" w:eastAsia="仿宋_GB2312" w:cs="Times New Roman"/>
          <w:sz w:val="32"/>
          <w:szCs w:val="32"/>
        </w:rPr>
        <w:t>区</w:t>
      </w:r>
      <w:r>
        <w:rPr>
          <w:rFonts w:ascii="Times New Roman" w:hAnsi="Times New Roman" w:eastAsia="仿宋_GB2312" w:cs="Times New Roman"/>
          <w:sz w:val="32"/>
          <w:szCs w:val="32"/>
        </w:rPr>
        <w:t>党的意识形态工作，组织协调意识形态工作责任制落实和日常监督检查，结合巡视巡察工作开展专项检查。</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（三）统筹指导协调全</w:t>
      </w:r>
      <w:r>
        <w:rPr>
          <w:rFonts w:hint="eastAsia" w:ascii="Times New Roman" w:hAnsi="Times New Roman" w:eastAsia="仿宋_GB2312" w:cs="Times New Roman"/>
          <w:sz w:val="32"/>
          <w:szCs w:val="32"/>
        </w:rPr>
        <w:t>区</w:t>
      </w:r>
      <w:r>
        <w:rPr>
          <w:rFonts w:ascii="Times New Roman" w:hAnsi="Times New Roman" w:eastAsia="仿宋_GB2312" w:cs="Times New Roman"/>
          <w:sz w:val="32"/>
          <w:szCs w:val="32"/>
        </w:rPr>
        <w:t>理论学习、理论宣传工作，组织推动理论武装工作。</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（四）负责规划组织全</w:t>
      </w:r>
      <w:r>
        <w:rPr>
          <w:rFonts w:hint="eastAsia" w:ascii="Times New Roman" w:hAnsi="Times New Roman" w:eastAsia="仿宋_GB2312" w:cs="Times New Roman"/>
          <w:sz w:val="32"/>
          <w:szCs w:val="32"/>
        </w:rPr>
        <w:t>区</w:t>
      </w:r>
      <w:r>
        <w:rPr>
          <w:rFonts w:ascii="Times New Roman" w:hAnsi="Times New Roman" w:eastAsia="仿宋_GB2312" w:cs="Times New Roman"/>
          <w:sz w:val="32"/>
          <w:szCs w:val="32"/>
        </w:rPr>
        <w:t>思想政治工作，组织全</w:t>
      </w:r>
      <w:r>
        <w:rPr>
          <w:rFonts w:hint="eastAsia" w:ascii="Times New Roman" w:hAnsi="Times New Roman" w:eastAsia="仿宋_GB2312" w:cs="Times New Roman"/>
          <w:sz w:val="32"/>
          <w:szCs w:val="32"/>
        </w:rPr>
        <w:t>区</w:t>
      </w:r>
      <w:r>
        <w:rPr>
          <w:rFonts w:ascii="Times New Roman" w:hAnsi="Times New Roman" w:eastAsia="仿宋_GB2312" w:cs="Times New Roman"/>
          <w:sz w:val="32"/>
          <w:szCs w:val="32"/>
        </w:rPr>
        <w:t>重大先进典型的选树、宣传、学习，配合</w:t>
      </w:r>
      <w:r>
        <w:rPr>
          <w:rFonts w:hint="eastAsia" w:ascii="Times New Roman" w:hAnsi="Times New Roman" w:eastAsia="仿宋_GB2312" w:cs="Times New Roman"/>
          <w:sz w:val="32"/>
          <w:szCs w:val="32"/>
        </w:rPr>
        <w:t>区</w:t>
      </w:r>
      <w:r>
        <w:rPr>
          <w:rFonts w:ascii="Times New Roman" w:hAnsi="Times New Roman" w:eastAsia="仿宋_GB2312" w:cs="Times New Roman"/>
          <w:sz w:val="32"/>
          <w:szCs w:val="32"/>
        </w:rPr>
        <w:t>委组织部做好党员教育工作，指导协调编写党员教育教材，会同有关部门研究和改进群众思想教育工作。</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（五）统筹分析研判和引导社会舆论，统筹指导协调全</w:t>
      </w:r>
      <w:r>
        <w:rPr>
          <w:rFonts w:hint="eastAsia" w:ascii="Times New Roman" w:hAnsi="Times New Roman" w:eastAsia="仿宋_GB2312" w:cs="Times New Roman"/>
          <w:sz w:val="32"/>
          <w:szCs w:val="32"/>
        </w:rPr>
        <w:t>区</w:t>
      </w:r>
      <w:r>
        <w:rPr>
          <w:rFonts w:ascii="Times New Roman" w:hAnsi="Times New Roman" w:eastAsia="仿宋_GB2312" w:cs="Times New Roman"/>
          <w:sz w:val="32"/>
          <w:szCs w:val="32"/>
        </w:rPr>
        <w:t>新闻单位工作，负责</w:t>
      </w:r>
      <w:r>
        <w:rPr>
          <w:rFonts w:hint="eastAsia" w:ascii="Times New Roman" w:hAnsi="Times New Roman" w:eastAsia="仿宋_GB2312" w:cs="Times New Roman"/>
          <w:sz w:val="32"/>
          <w:szCs w:val="32"/>
        </w:rPr>
        <w:t>华龙区</w:t>
      </w:r>
      <w:r>
        <w:rPr>
          <w:rFonts w:ascii="Times New Roman" w:hAnsi="Times New Roman" w:eastAsia="仿宋_GB2312" w:cs="Times New Roman"/>
          <w:sz w:val="32"/>
          <w:szCs w:val="32"/>
        </w:rPr>
        <w:t>新闻单位的监督管理。组织全</w:t>
      </w:r>
      <w:r>
        <w:rPr>
          <w:rFonts w:hint="eastAsia" w:ascii="Times New Roman" w:hAnsi="Times New Roman" w:eastAsia="仿宋_GB2312" w:cs="Times New Roman"/>
          <w:sz w:val="32"/>
          <w:szCs w:val="32"/>
        </w:rPr>
        <w:t>区</w:t>
      </w:r>
      <w:r>
        <w:rPr>
          <w:rFonts w:ascii="Times New Roman" w:hAnsi="Times New Roman" w:eastAsia="仿宋_GB2312" w:cs="Times New Roman"/>
          <w:sz w:val="32"/>
          <w:szCs w:val="32"/>
        </w:rPr>
        <w:t>突发公共事件应急新闻工作。</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（六）拟订全</w:t>
      </w:r>
      <w:r>
        <w:rPr>
          <w:rFonts w:hint="eastAsia" w:ascii="Times New Roman" w:hAnsi="Times New Roman" w:eastAsia="仿宋_GB2312" w:cs="Times New Roman"/>
          <w:sz w:val="32"/>
          <w:szCs w:val="32"/>
        </w:rPr>
        <w:t>区</w:t>
      </w:r>
      <w:r>
        <w:rPr>
          <w:rFonts w:ascii="Times New Roman" w:hAnsi="Times New Roman" w:eastAsia="仿宋_GB2312" w:cs="Times New Roman"/>
          <w:sz w:val="32"/>
          <w:szCs w:val="32"/>
        </w:rPr>
        <w:t>新闻出版业的管理政策并督促落实，管理新闻出版行政事务，组织协调有关行政审批工作，统筹规划和指导协调新闻出版事业、产业发展，监督管理出版物内容和质量，监督管理印刷业，管理著作权等。负责全</w:t>
      </w:r>
      <w:r>
        <w:rPr>
          <w:rFonts w:hint="eastAsia" w:ascii="Times New Roman" w:hAnsi="Times New Roman" w:eastAsia="仿宋_GB2312" w:cs="Times New Roman"/>
          <w:sz w:val="32"/>
          <w:szCs w:val="32"/>
        </w:rPr>
        <w:t>区</w:t>
      </w:r>
      <w:r>
        <w:rPr>
          <w:rFonts w:ascii="Times New Roman" w:hAnsi="Times New Roman" w:eastAsia="仿宋_GB2312" w:cs="Times New Roman"/>
          <w:sz w:val="32"/>
          <w:szCs w:val="32"/>
        </w:rPr>
        <w:t>新闻记者证的监督管理。组织指导协调全</w:t>
      </w:r>
      <w:r>
        <w:rPr>
          <w:rFonts w:hint="eastAsia" w:ascii="Times New Roman" w:hAnsi="Times New Roman" w:eastAsia="仿宋_GB2312" w:cs="Times New Roman"/>
          <w:sz w:val="32"/>
          <w:szCs w:val="32"/>
        </w:rPr>
        <w:t>区</w:t>
      </w:r>
      <w:r>
        <w:rPr>
          <w:rFonts w:ascii="Times New Roman" w:hAnsi="Times New Roman" w:eastAsia="仿宋_GB2312" w:cs="Times New Roman"/>
          <w:sz w:val="32"/>
          <w:szCs w:val="32"/>
        </w:rPr>
        <w:t>“扫黄打非”工作。</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（七）统筹指导协调互联网宣传和信息内容管理工作。统筹协调融媒体的建设与管理。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（八）统筹指导协调推动精神文化产品的创作和生产，协调组织中华优秀传统文化传承发展有关工作，指导协调推动群众文化建设。</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（九）负责管理电影行政事务，指导监管电影放映工作。</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（十）对新闻出版、广播影视、文化艺术改革发展研究提出政策性建议，统筹指导协调文化体制改革和文化事业、文化产业及旅游体育业发展。</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（十一）统筹指导舆情信息工作，组织协调开展全</w:t>
      </w:r>
      <w:r>
        <w:rPr>
          <w:rFonts w:hint="eastAsia" w:ascii="Times New Roman" w:hAnsi="Times New Roman" w:eastAsia="仿宋_GB2312" w:cs="Times New Roman"/>
          <w:sz w:val="32"/>
          <w:szCs w:val="32"/>
        </w:rPr>
        <w:t>区</w:t>
      </w:r>
      <w:r>
        <w:rPr>
          <w:rFonts w:ascii="Times New Roman" w:hAnsi="Times New Roman" w:eastAsia="仿宋_GB2312" w:cs="Times New Roman"/>
          <w:sz w:val="32"/>
          <w:szCs w:val="32"/>
        </w:rPr>
        <w:t>舆情信息收集分析研判工作，跟踪了解、研究掌握宣传舆情动态。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（十二）统筹协调</w:t>
      </w:r>
      <w:r>
        <w:rPr>
          <w:rFonts w:hint="eastAsia" w:ascii="Times New Roman" w:hAnsi="Times New Roman" w:eastAsia="仿宋_GB2312" w:cs="Times New Roman"/>
          <w:sz w:val="32"/>
          <w:szCs w:val="32"/>
        </w:rPr>
        <w:t>全区</w:t>
      </w:r>
      <w:r>
        <w:rPr>
          <w:rFonts w:ascii="Times New Roman" w:hAnsi="Times New Roman" w:eastAsia="仿宋_GB2312" w:cs="Times New Roman"/>
          <w:sz w:val="32"/>
          <w:szCs w:val="32"/>
        </w:rPr>
        <w:t>对外宣传工作，指导协调有关部门研究拟订对外宣传工作政策措施和对外宣传事业发展规划。指导对外文化交流工作。会同有关部门做好境外媒体记者在我</w:t>
      </w:r>
      <w:r>
        <w:rPr>
          <w:rFonts w:hint="eastAsia" w:ascii="Times New Roman" w:hAnsi="Times New Roman" w:eastAsia="仿宋_GB2312" w:cs="Times New Roman"/>
          <w:sz w:val="32"/>
          <w:szCs w:val="32"/>
        </w:rPr>
        <w:t>区</w:t>
      </w:r>
      <w:r>
        <w:rPr>
          <w:rFonts w:ascii="Times New Roman" w:hAnsi="Times New Roman" w:eastAsia="仿宋_GB2312" w:cs="Times New Roman"/>
          <w:sz w:val="32"/>
          <w:szCs w:val="32"/>
        </w:rPr>
        <w:t>采访的服务引导工作。</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（十三）统筹协调组织开展新闻发布工作，承担</w:t>
      </w:r>
      <w:r>
        <w:rPr>
          <w:rFonts w:hint="eastAsia" w:ascii="Times New Roman" w:hAnsi="Times New Roman" w:eastAsia="仿宋_GB2312" w:cs="Times New Roman"/>
          <w:sz w:val="32"/>
          <w:szCs w:val="32"/>
        </w:rPr>
        <w:t>区</w:t>
      </w:r>
      <w:r>
        <w:rPr>
          <w:rFonts w:ascii="Times New Roman" w:hAnsi="Times New Roman" w:eastAsia="仿宋_GB2312" w:cs="Times New Roman"/>
          <w:sz w:val="32"/>
          <w:szCs w:val="32"/>
        </w:rPr>
        <w:t>委新闻发布有关组织协调工作，负责</w:t>
      </w:r>
      <w:r>
        <w:rPr>
          <w:rFonts w:hint="eastAsia" w:ascii="Times New Roman" w:hAnsi="Times New Roman" w:eastAsia="仿宋_GB2312" w:cs="Times New Roman"/>
          <w:sz w:val="32"/>
          <w:szCs w:val="32"/>
        </w:rPr>
        <w:t>区</w:t>
      </w:r>
      <w:r>
        <w:rPr>
          <w:rFonts w:ascii="Times New Roman" w:hAnsi="Times New Roman" w:eastAsia="仿宋_GB2312" w:cs="Times New Roman"/>
          <w:sz w:val="32"/>
          <w:szCs w:val="32"/>
        </w:rPr>
        <w:t>政府新闻发布组织实施工作，指导协调</w:t>
      </w:r>
      <w:r>
        <w:rPr>
          <w:rFonts w:hint="eastAsia" w:ascii="Times New Roman" w:hAnsi="Times New Roman" w:eastAsia="仿宋_GB2312" w:cs="Times New Roman"/>
          <w:sz w:val="32"/>
          <w:szCs w:val="32"/>
        </w:rPr>
        <w:t>区</w:t>
      </w:r>
      <w:r>
        <w:rPr>
          <w:rFonts w:ascii="Times New Roman" w:hAnsi="Times New Roman" w:eastAsia="仿宋_GB2312" w:cs="Times New Roman"/>
          <w:sz w:val="32"/>
          <w:szCs w:val="32"/>
        </w:rPr>
        <w:t>政府各部门和各</w:t>
      </w:r>
      <w:r>
        <w:rPr>
          <w:rFonts w:hint="eastAsia" w:ascii="Times New Roman" w:hAnsi="Times New Roman" w:eastAsia="仿宋_GB2312" w:cs="Times New Roman"/>
          <w:sz w:val="32"/>
          <w:szCs w:val="32"/>
        </w:rPr>
        <w:t>乡镇（办）</w:t>
      </w:r>
      <w:r>
        <w:rPr>
          <w:rFonts w:ascii="Times New Roman" w:hAnsi="Times New Roman" w:eastAsia="仿宋_GB2312" w:cs="Times New Roman"/>
          <w:sz w:val="32"/>
          <w:szCs w:val="32"/>
        </w:rPr>
        <w:t>的新闻发布工作，推动新闻发言人制度建设。</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（十四）贯彻落实党中央关于加强社会主义精神文明建设的方针政策和省委、市委</w:t>
      </w:r>
      <w:r>
        <w:rPr>
          <w:rFonts w:hint="eastAsia" w:ascii="Times New Roman" w:hAnsi="Times New Roman" w:eastAsia="仿宋_GB2312" w:cs="Times New Roman"/>
          <w:sz w:val="32"/>
          <w:szCs w:val="32"/>
        </w:rPr>
        <w:t>、区委</w:t>
      </w:r>
      <w:r>
        <w:rPr>
          <w:rFonts w:ascii="Times New Roman" w:hAnsi="Times New Roman" w:eastAsia="仿宋_GB2312" w:cs="Times New Roman"/>
          <w:sz w:val="32"/>
          <w:szCs w:val="32"/>
        </w:rPr>
        <w:t>有关部署，在</w:t>
      </w:r>
      <w:r>
        <w:rPr>
          <w:rFonts w:hint="eastAsia" w:ascii="Times New Roman" w:hAnsi="Times New Roman" w:eastAsia="仿宋_GB2312" w:cs="Times New Roman"/>
          <w:sz w:val="32"/>
          <w:szCs w:val="32"/>
        </w:rPr>
        <w:t>濮阳市华龙区</w:t>
      </w:r>
      <w:r>
        <w:rPr>
          <w:rFonts w:ascii="Times New Roman" w:hAnsi="Times New Roman" w:eastAsia="仿宋_GB2312" w:cs="Times New Roman"/>
          <w:sz w:val="32"/>
          <w:szCs w:val="32"/>
        </w:rPr>
        <w:t>精神文明建设指导委员会指导下统筹协调、指导推动全</w:t>
      </w:r>
      <w:r>
        <w:rPr>
          <w:rFonts w:hint="eastAsia" w:ascii="Times New Roman" w:hAnsi="Times New Roman" w:eastAsia="仿宋_GB2312" w:cs="Times New Roman"/>
          <w:sz w:val="32"/>
          <w:szCs w:val="32"/>
        </w:rPr>
        <w:t>区</w:t>
      </w:r>
      <w:r>
        <w:rPr>
          <w:rFonts w:ascii="Times New Roman" w:hAnsi="Times New Roman" w:eastAsia="仿宋_GB2312" w:cs="Times New Roman"/>
          <w:sz w:val="32"/>
          <w:szCs w:val="32"/>
        </w:rPr>
        <w:t>精神文明建设工作，组织开展全</w:t>
      </w:r>
      <w:r>
        <w:rPr>
          <w:rFonts w:hint="eastAsia" w:ascii="Times New Roman" w:hAnsi="Times New Roman" w:eastAsia="仿宋_GB2312" w:cs="Times New Roman"/>
          <w:sz w:val="32"/>
          <w:szCs w:val="32"/>
        </w:rPr>
        <w:t>区</w:t>
      </w:r>
      <w:r>
        <w:rPr>
          <w:rFonts w:ascii="Times New Roman" w:hAnsi="Times New Roman" w:eastAsia="仿宋_GB2312" w:cs="Times New Roman"/>
          <w:sz w:val="32"/>
          <w:szCs w:val="32"/>
        </w:rPr>
        <w:t>群众性精神文明创建活动，评选表彰精神文明建设先进典型，总结推广先进经验。</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（十五）受</w:t>
      </w:r>
      <w:r>
        <w:rPr>
          <w:rFonts w:hint="eastAsia" w:ascii="Times New Roman" w:hAnsi="Times New Roman" w:eastAsia="仿宋_GB2312" w:cs="Times New Roman"/>
          <w:sz w:val="32"/>
          <w:szCs w:val="32"/>
        </w:rPr>
        <w:t>区</w:t>
      </w:r>
      <w:r>
        <w:rPr>
          <w:rFonts w:ascii="Times New Roman" w:hAnsi="Times New Roman" w:eastAsia="仿宋_GB2312" w:cs="Times New Roman"/>
          <w:sz w:val="32"/>
          <w:szCs w:val="32"/>
        </w:rPr>
        <w:t>委委托，协同</w:t>
      </w:r>
      <w:r>
        <w:rPr>
          <w:rFonts w:hint="eastAsia" w:ascii="Times New Roman" w:hAnsi="Times New Roman" w:eastAsia="仿宋_GB2312" w:cs="Times New Roman"/>
          <w:sz w:val="32"/>
          <w:szCs w:val="32"/>
        </w:rPr>
        <w:t>区</w:t>
      </w:r>
      <w:r>
        <w:rPr>
          <w:rFonts w:ascii="Times New Roman" w:hAnsi="Times New Roman" w:eastAsia="仿宋_GB2312" w:cs="Times New Roman"/>
          <w:sz w:val="32"/>
          <w:szCs w:val="32"/>
        </w:rPr>
        <w:t>委组织部管理新闻、文化、出版和互联网信息等方面</w:t>
      </w:r>
      <w:r>
        <w:rPr>
          <w:rFonts w:hint="eastAsia" w:ascii="Times New Roman" w:hAnsi="Times New Roman" w:eastAsia="仿宋_GB2312" w:cs="Times New Roman"/>
          <w:sz w:val="32"/>
          <w:szCs w:val="32"/>
        </w:rPr>
        <w:t>区</w:t>
      </w:r>
      <w:r>
        <w:rPr>
          <w:rFonts w:ascii="Times New Roman" w:hAnsi="Times New Roman" w:eastAsia="仿宋_GB2312" w:cs="Times New Roman"/>
          <w:sz w:val="32"/>
          <w:szCs w:val="32"/>
        </w:rPr>
        <w:t>直宣传思想文化单位的领导干部。对</w:t>
      </w:r>
      <w:r>
        <w:rPr>
          <w:rFonts w:hint="eastAsia" w:ascii="Times New Roman" w:hAnsi="Times New Roman" w:eastAsia="仿宋_GB2312" w:cs="Times New Roman"/>
          <w:sz w:val="32"/>
          <w:szCs w:val="32"/>
        </w:rPr>
        <w:t>各乡镇（办）宣传委员</w:t>
      </w:r>
      <w:r>
        <w:rPr>
          <w:rFonts w:ascii="Times New Roman" w:hAnsi="Times New Roman" w:eastAsia="仿宋_GB2312" w:cs="Times New Roman"/>
          <w:sz w:val="32"/>
          <w:szCs w:val="32"/>
        </w:rPr>
        <w:t>的任免提出意见。负责组织开展宣传思想文化系统人才工作和干部教育培训。</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（十六）负责管理濮阳市华龙区记者站</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2020年3月更名为濮阳市华龙区融媒体中心</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和</w:t>
      </w:r>
      <w:r>
        <w:rPr>
          <w:rFonts w:ascii="Times New Roman" w:hAnsi="Times New Roman" w:eastAsia="仿宋_GB2312" w:cs="Times New Roman"/>
          <w:sz w:val="32"/>
          <w:szCs w:val="32"/>
        </w:rPr>
        <w:t>濮阳市</w:t>
      </w:r>
      <w:r>
        <w:rPr>
          <w:rFonts w:hint="eastAsia" w:ascii="Times New Roman" w:hAnsi="Times New Roman" w:eastAsia="仿宋_GB2312" w:cs="Times New Roman"/>
          <w:sz w:val="32"/>
          <w:szCs w:val="32"/>
        </w:rPr>
        <w:t>华龙区</w:t>
      </w:r>
      <w:r>
        <w:rPr>
          <w:rFonts w:hint="eastAsia" w:ascii="Times New Roman" w:hAnsi="Times New Roman" w:eastAsia="仿宋_GB2312" w:cs="Times New Roman"/>
          <w:sz w:val="32"/>
          <w:szCs w:val="32"/>
          <w:lang w:val="en-US" w:eastAsia="zh-CN"/>
        </w:rPr>
        <w:t>文学艺术联合会</w:t>
      </w:r>
      <w:r>
        <w:rPr>
          <w:rFonts w:ascii="Times New Roman" w:hAnsi="Times New Roman" w:eastAsia="仿宋_GB2312" w:cs="Times New Roman"/>
          <w:sz w:val="32"/>
          <w:szCs w:val="32"/>
        </w:rPr>
        <w:t>。指导协调濮阳市</w:t>
      </w:r>
      <w:r>
        <w:rPr>
          <w:rFonts w:hint="eastAsia" w:ascii="Times New Roman" w:hAnsi="Times New Roman" w:eastAsia="仿宋_GB2312" w:cs="Times New Roman"/>
          <w:sz w:val="32"/>
          <w:szCs w:val="32"/>
        </w:rPr>
        <w:t>华龙区</w:t>
      </w:r>
      <w:r>
        <w:rPr>
          <w:rFonts w:ascii="Times New Roman" w:hAnsi="Times New Roman" w:eastAsia="仿宋_GB2312" w:cs="Times New Roman"/>
          <w:sz w:val="32"/>
          <w:szCs w:val="32"/>
        </w:rPr>
        <w:t>文化广电旅游体育局工作。</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（十</w:t>
      </w:r>
      <w:r>
        <w:rPr>
          <w:rFonts w:hint="eastAsia" w:ascii="Times New Roman" w:hAnsi="Times New Roman" w:eastAsia="仿宋_GB2312" w:cs="Times New Roman"/>
          <w:sz w:val="32"/>
          <w:szCs w:val="32"/>
        </w:rPr>
        <w:t>七</w:t>
      </w:r>
      <w:r>
        <w:rPr>
          <w:rFonts w:ascii="Times New Roman" w:hAnsi="Times New Roman" w:eastAsia="仿宋_GB2312" w:cs="Times New Roman"/>
          <w:sz w:val="32"/>
          <w:szCs w:val="32"/>
        </w:rPr>
        <w:t>）统一管理中共濮阳市</w:t>
      </w:r>
      <w:r>
        <w:rPr>
          <w:rFonts w:hint="eastAsia" w:ascii="Times New Roman" w:hAnsi="Times New Roman" w:eastAsia="仿宋_GB2312" w:cs="Times New Roman"/>
          <w:sz w:val="32"/>
          <w:szCs w:val="32"/>
        </w:rPr>
        <w:t>华龙区</w:t>
      </w:r>
      <w:r>
        <w:rPr>
          <w:rFonts w:ascii="Times New Roman" w:hAnsi="Times New Roman" w:eastAsia="仿宋_GB2312" w:cs="Times New Roman"/>
          <w:sz w:val="32"/>
          <w:szCs w:val="32"/>
        </w:rPr>
        <w:t>委网络安全和信息化委员会办公室。</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（十</w:t>
      </w:r>
      <w:r>
        <w:rPr>
          <w:rFonts w:hint="eastAsia" w:ascii="Times New Roman" w:hAnsi="Times New Roman" w:eastAsia="仿宋_GB2312" w:cs="Times New Roman"/>
          <w:sz w:val="32"/>
          <w:szCs w:val="32"/>
        </w:rPr>
        <w:t>八</w:t>
      </w:r>
      <w:r>
        <w:rPr>
          <w:rFonts w:ascii="Times New Roman" w:hAnsi="Times New Roman" w:eastAsia="仿宋_GB2312" w:cs="Times New Roman"/>
          <w:sz w:val="32"/>
          <w:szCs w:val="32"/>
        </w:rPr>
        <w:t>）完成</w:t>
      </w:r>
      <w:r>
        <w:rPr>
          <w:rFonts w:hint="eastAsia" w:ascii="Times New Roman" w:hAnsi="Times New Roman" w:eastAsia="仿宋_GB2312" w:cs="Times New Roman"/>
          <w:sz w:val="32"/>
          <w:szCs w:val="32"/>
        </w:rPr>
        <w:t>区</w:t>
      </w:r>
      <w:r>
        <w:rPr>
          <w:rFonts w:ascii="Times New Roman" w:hAnsi="Times New Roman" w:eastAsia="仿宋_GB2312" w:cs="Times New Roman"/>
          <w:sz w:val="32"/>
          <w:szCs w:val="32"/>
        </w:rPr>
        <w:t>委交办的其他任务。</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ascii="黑体" w:hAnsi="黑体" w:eastAsia="黑体"/>
          <w:sz w:val="32"/>
          <w:szCs w:val="32"/>
        </w:rPr>
      </w:pPr>
      <w:r>
        <w:rPr>
          <w:rFonts w:hint="eastAsia" w:ascii="黑体" w:hAnsi="黑体" w:eastAsia="黑体"/>
          <w:sz w:val="32"/>
          <w:szCs w:val="32"/>
        </w:rPr>
        <w:t>二、机构设置情况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sz w:val="32"/>
          <w:szCs w:val="32"/>
          <w:lang w:val="en-US" w:eastAsia="zh-CN"/>
        </w:rPr>
      </w:pPr>
      <w:r>
        <w:rPr>
          <w:rFonts w:ascii="仿宋" w:hAnsi="仿宋" w:eastAsia="仿宋"/>
          <w:sz w:val="32"/>
          <w:szCs w:val="32"/>
        </w:rPr>
        <w:t>1</w:t>
      </w:r>
      <w:r>
        <w:rPr>
          <w:rFonts w:hint="eastAsia" w:ascii="仿宋" w:hAnsi="仿宋" w:eastAsia="仿宋"/>
          <w:sz w:val="32"/>
          <w:szCs w:val="32"/>
        </w:rPr>
        <w:t>、内设</w:t>
      </w:r>
      <w:r>
        <w:rPr>
          <w:rFonts w:hint="eastAsia" w:ascii="仿宋" w:hAnsi="仿宋" w:eastAsia="仿宋"/>
          <w:sz w:val="32"/>
          <w:szCs w:val="32"/>
          <w:lang w:val="en-US" w:eastAsia="zh-CN"/>
        </w:rPr>
        <w:t>7</w:t>
      </w:r>
      <w:r>
        <w:rPr>
          <w:rFonts w:hint="eastAsia" w:ascii="仿宋" w:hAnsi="仿宋" w:eastAsia="仿宋"/>
          <w:sz w:val="32"/>
          <w:szCs w:val="32"/>
        </w:rPr>
        <w:t>个科室：办公室、</w:t>
      </w:r>
      <w:r>
        <w:rPr>
          <w:rFonts w:hint="eastAsia" w:ascii="仿宋" w:hAnsi="仿宋" w:eastAsia="仿宋"/>
          <w:sz w:val="32"/>
          <w:szCs w:val="32"/>
          <w:lang w:val="en-US" w:eastAsia="zh-CN"/>
        </w:rPr>
        <w:t>意识形态工作股、新闻外宣股、出版管理股、文化文艺股、宣传教育股、精神文明建设指导办公室</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楷体_GB2312" w:hAnsi="楷体_GB2312" w:eastAsia="仿宋" w:cs="楷体_GB2312"/>
          <w:sz w:val="32"/>
          <w:szCs w:val="32"/>
          <w:lang w:val="en-US" w:eastAsia="zh-CN"/>
        </w:rPr>
      </w:pPr>
      <w:r>
        <w:rPr>
          <w:rFonts w:ascii="仿宋" w:hAnsi="仿宋" w:eastAsia="仿宋"/>
          <w:sz w:val="32"/>
          <w:szCs w:val="32"/>
        </w:rPr>
        <w:t>2</w:t>
      </w:r>
      <w:r>
        <w:rPr>
          <w:rFonts w:hint="eastAsia" w:ascii="仿宋" w:hAnsi="仿宋" w:eastAsia="仿宋"/>
          <w:sz w:val="32"/>
          <w:szCs w:val="32"/>
          <w:lang w:eastAsia="zh-CN"/>
        </w:rPr>
        <w:t>、</w:t>
      </w:r>
      <w:r>
        <w:rPr>
          <w:rFonts w:hint="eastAsia" w:ascii="仿宋" w:hAnsi="仿宋" w:eastAsia="仿宋"/>
          <w:sz w:val="32"/>
          <w:szCs w:val="32"/>
        </w:rPr>
        <w:t>管理</w:t>
      </w:r>
      <w:r>
        <w:rPr>
          <w:rFonts w:hint="eastAsia" w:ascii="仿宋" w:hAnsi="仿宋" w:eastAsia="仿宋"/>
          <w:sz w:val="32"/>
          <w:szCs w:val="32"/>
          <w:lang w:val="en-US" w:eastAsia="zh-CN"/>
        </w:rPr>
        <w:t>3</w:t>
      </w:r>
      <w:r>
        <w:rPr>
          <w:rFonts w:hint="eastAsia" w:ascii="仿宋" w:hAnsi="仿宋" w:eastAsia="仿宋"/>
          <w:sz w:val="32"/>
          <w:szCs w:val="32"/>
        </w:rPr>
        <w:t>个事业单位：区</w:t>
      </w:r>
      <w:r>
        <w:rPr>
          <w:rFonts w:hint="eastAsia" w:ascii="仿宋" w:hAnsi="仿宋" w:eastAsia="仿宋"/>
          <w:sz w:val="32"/>
          <w:szCs w:val="32"/>
          <w:lang w:val="en-US" w:eastAsia="zh-CN"/>
        </w:rPr>
        <w:t>融媒体中心</w:t>
      </w:r>
      <w:r>
        <w:rPr>
          <w:rFonts w:hint="eastAsia" w:ascii="仿宋" w:hAnsi="仿宋" w:eastAsia="仿宋"/>
          <w:sz w:val="32"/>
          <w:szCs w:val="32"/>
        </w:rPr>
        <w:t>、区文联</w:t>
      </w:r>
      <w:r>
        <w:rPr>
          <w:rFonts w:hint="eastAsia" w:ascii="仿宋" w:hAnsi="仿宋" w:eastAsia="仿宋"/>
          <w:sz w:val="32"/>
          <w:szCs w:val="32"/>
          <w:lang w:eastAsia="zh-CN"/>
        </w:rPr>
        <w:t>，</w:t>
      </w:r>
      <w:r>
        <w:rPr>
          <w:rFonts w:hint="eastAsia" w:ascii="仿宋" w:hAnsi="仿宋" w:eastAsia="仿宋"/>
          <w:sz w:val="32"/>
          <w:szCs w:val="32"/>
          <w:lang w:val="en-US" w:eastAsia="zh-CN"/>
        </w:rPr>
        <w:t>区精神文明建设服务中心，</w:t>
      </w:r>
      <w:r>
        <w:rPr>
          <w:rFonts w:hint="eastAsia" w:ascii="仿宋" w:hAnsi="仿宋" w:eastAsia="仿宋"/>
          <w:sz w:val="32"/>
          <w:szCs w:val="32"/>
        </w:rPr>
        <w:t>均未独立核算</w:t>
      </w:r>
      <w:r>
        <w:rPr>
          <w:rFonts w:hint="eastAsia" w:ascii="仿宋" w:hAnsi="仿宋" w:eastAsia="仿宋"/>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outlineLvl w:val="1"/>
        <w:rPr>
          <w:rFonts w:hint="eastAsia" w:ascii="仿宋" w:hAnsi="仿宋" w:eastAsia="仿宋"/>
          <w:sz w:val="32"/>
          <w:szCs w:val="32"/>
        </w:rPr>
      </w:pPr>
      <w:r>
        <w:rPr>
          <w:rFonts w:hint="eastAsia" w:ascii="仿宋" w:hAnsi="仿宋" w:eastAsia="仿宋"/>
          <w:sz w:val="32"/>
          <w:szCs w:val="32"/>
        </w:rPr>
        <w:t>本部门经费实行全额预算管理。本部门无独立核算的下属预算单位，部门本级预算即汇总预算。</w:t>
      </w:r>
    </w:p>
    <w:p>
      <w:pPr>
        <w:rPr>
          <w:rFonts w:ascii="黑体" w:hAnsi="黑体" w:eastAsia="黑体"/>
          <w:sz w:val="32"/>
          <w:szCs w:val="32"/>
        </w:rPr>
      </w:pPr>
    </w:p>
    <w:p>
      <w:pPr>
        <w:pStyle w:val="4"/>
        <w:topLinePunct/>
        <w:spacing w:before="0" w:beforeAutospacing="0" w:after="0" w:afterAutospacing="0" w:line="360" w:lineRule="auto"/>
        <w:jc w:val="center"/>
        <w:rPr>
          <w:rFonts w:ascii="Calibri" w:hAnsi="Calibri"/>
          <w:color w:val="000000"/>
          <w:sz w:val="22"/>
          <w:szCs w:val="21"/>
        </w:rPr>
      </w:pPr>
      <w:r>
        <w:rPr>
          <w:rFonts w:hint="eastAsia" w:ascii="黑体" w:hAnsi="黑体" w:eastAsia="黑体"/>
          <w:color w:val="000000"/>
          <w:sz w:val="36"/>
          <w:szCs w:val="32"/>
        </w:rPr>
        <w:t>第二部分</w:t>
      </w:r>
    </w:p>
    <w:p>
      <w:pPr>
        <w:pStyle w:val="4"/>
        <w:topLinePunct/>
        <w:spacing w:before="0" w:beforeAutospacing="0" w:after="0" w:afterAutospacing="0" w:line="360" w:lineRule="auto"/>
        <w:jc w:val="center"/>
        <w:rPr>
          <w:rFonts w:ascii="Calibri" w:hAnsi="Calibri"/>
          <w:color w:val="000000"/>
          <w:sz w:val="22"/>
          <w:szCs w:val="21"/>
        </w:rPr>
      </w:pPr>
      <w:r>
        <w:rPr>
          <w:rFonts w:hint="eastAsia" w:ascii="黑体" w:hAnsi="黑体" w:eastAsia="黑体"/>
          <w:color w:val="000000"/>
          <w:sz w:val="36"/>
          <w:szCs w:val="32"/>
        </w:rPr>
        <w:t>20</w:t>
      </w:r>
      <w:r>
        <w:rPr>
          <w:rFonts w:hint="eastAsia" w:ascii="黑体" w:hAnsi="黑体" w:eastAsia="黑体"/>
          <w:color w:val="000000"/>
          <w:sz w:val="36"/>
          <w:szCs w:val="32"/>
          <w:lang w:val="en-US" w:eastAsia="zh-CN"/>
        </w:rPr>
        <w:t>20</w:t>
      </w:r>
      <w:r>
        <w:rPr>
          <w:rFonts w:hint="eastAsia" w:ascii="黑体" w:hAnsi="黑体" w:eastAsia="黑体"/>
          <w:color w:val="000000"/>
          <w:sz w:val="36"/>
          <w:szCs w:val="32"/>
        </w:rPr>
        <w:t>年部门预算情况说明</w:t>
      </w:r>
    </w:p>
    <w:p>
      <w:pPr>
        <w:ind w:firstLine="640" w:firstLineChars="200"/>
        <w:rPr>
          <w:rFonts w:ascii="华文仿宋" w:hAnsi="华文仿宋" w:eastAsia="华文仿宋"/>
          <w:sz w:val="32"/>
          <w:szCs w:val="32"/>
        </w:rPr>
      </w:pP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ascii="黑体" w:hAnsi="黑体" w:eastAsia="黑体"/>
          <w:sz w:val="32"/>
          <w:szCs w:val="32"/>
        </w:rPr>
      </w:pPr>
      <w:r>
        <w:rPr>
          <w:rFonts w:hint="eastAsia" w:ascii="黑体" w:hAnsi="黑体" w:eastAsia="黑体"/>
          <w:sz w:val="32"/>
          <w:szCs w:val="32"/>
        </w:rPr>
        <w:t>一、本级预算和所属单位预算在内的汇总预算总体情况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ascii="仿宋" w:hAnsi="仿宋" w:eastAsia="仿宋"/>
          <w:sz w:val="32"/>
          <w:szCs w:val="32"/>
        </w:rPr>
      </w:pPr>
      <w:r>
        <w:rPr>
          <w:rFonts w:hint="eastAsia" w:ascii="仿宋" w:hAnsi="仿宋" w:eastAsia="仿宋"/>
          <w:sz w:val="32"/>
          <w:szCs w:val="32"/>
        </w:rPr>
        <w:t>本部门无独立核算的下属预算单位，部门本级预算即汇总预算。</w:t>
      </w:r>
      <w:r>
        <w:rPr>
          <w:rFonts w:ascii="仿宋" w:hAnsi="仿宋" w:eastAsia="仿宋"/>
          <w:sz w:val="32"/>
          <w:szCs w:val="32"/>
        </w:rPr>
        <w:t>20</w:t>
      </w:r>
      <w:r>
        <w:rPr>
          <w:rFonts w:hint="eastAsia" w:ascii="仿宋" w:hAnsi="仿宋" w:eastAsia="仿宋"/>
          <w:sz w:val="32"/>
          <w:szCs w:val="32"/>
          <w:lang w:val="en-US" w:eastAsia="zh-CN"/>
        </w:rPr>
        <w:t>20</w:t>
      </w:r>
      <w:r>
        <w:rPr>
          <w:rFonts w:hint="eastAsia" w:ascii="仿宋" w:hAnsi="仿宋" w:eastAsia="仿宋"/>
          <w:sz w:val="32"/>
          <w:szCs w:val="32"/>
        </w:rPr>
        <w:t>年本部门财政</w:t>
      </w:r>
      <w:r>
        <w:rPr>
          <w:rFonts w:hint="eastAsia" w:ascii="仿宋" w:hAnsi="仿宋" w:eastAsia="仿宋"/>
          <w:sz w:val="32"/>
          <w:szCs w:val="32"/>
          <w:lang w:val="en-US" w:eastAsia="zh-CN"/>
        </w:rPr>
        <w:t>一般公共</w:t>
      </w:r>
      <w:r>
        <w:rPr>
          <w:rFonts w:hint="eastAsia" w:ascii="仿宋" w:hAnsi="仿宋" w:eastAsia="仿宋"/>
          <w:sz w:val="32"/>
          <w:szCs w:val="32"/>
        </w:rPr>
        <w:t>预算收入总计</w:t>
      </w:r>
      <w:r>
        <w:rPr>
          <w:rFonts w:hint="eastAsia" w:ascii="仿宋" w:hAnsi="仿宋" w:eastAsia="仿宋"/>
          <w:sz w:val="32"/>
          <w:szCs w:val="32"/>
          <w:lang w:val="en-US" w:eastAsia="zh-CN"/>
        </w:rPr>
        <w:t>393.77</w:t>
      </w:r>
      <w:r>
        <w:rPr>
          <w:rFonts w:hint="eastAsia" w:ascii="仿宋" w:hAnsi="仿宋" w:eastAsia="仿宋"/>
          <w:sz w:val="32"/>
          <w:szCs w:val="32"/>
        </w:rPr>
        <w:t>万元，</w:t>
      </w:r>
      <w:r>
        <w:rPr>
          <w:rFonts w:hint="eastAsia" w:ascii="仿宋" w:hAnsi="仿宋" w:eastAsia="仿宋"/>
          <w:sz w:val="32"/>
          <w:szCs w:val="32"/>
          <w:lang w:val="en-US" w:eastAsia="zh-CN"/>
        </w:rPr>
        <w:t>一般公共预算</w:t>
      </w:r>
      <w:r>
        <w:rPr>
          <w:rFonts w:hint="eastAsia" w:ascii="仿宋" w:hAnsi="仿宋" w:eastAsia="仿宋"/>
          <w:sz w:val="32"/>
          <w:szCs w:val="32"/>
        </w:rPr>
        <w:t>支出总计</w:t>
      </w:r>
      <w:r>
        <w:rPr>
          <w:rFonts w:hint="eastAsia" w:ascii="仿宋" w:hAnsi="仿宋" w:eastAsia="仿宋"/>
          <w:sz w:val="32"/>
          <w:szCs w:val="32"/>
          <w:lang w:val="en-US" w:eastAsia="zh-CN"/>
        </w:rPr>
        <w:t>393.77</w:t>
      </w:r>
      <w:r>
        <w:rPr>
          <w:rFonts w:hint="eastAsia" w:ascii="仿宋" w:hAnsi="仿宋" w:eastAsia="仿宋"/>
          <w:sz w:val="32"/>
          <w:szCs w:val="32"/>
        </w:rPr>
        <w:t>万元。</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ascii="黑体" w:hAnsi="黑体" w:eastAsia="黑体"/>
          <w:sz w:val="32"/>
          <w:szCs w:val="32"/>
        </w:rPr>
      </w:pPr>
      <w:r>
        <w:rPr>
          <w:rFonts w:hint="eastAsia" w:ascii="黑体" w:hAnsi="黑体" w:eastAsia="黑体"/>
          <w:sz w:val="32"/>
          <w:szCs w:val="32"/>
        </w:rPr>
        <w:t>二、部门预算收支增减变动情况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ascii="仿宋" w:hAnsi="仿宋" w:eastAsia="仿宋"/>
          <w:sz w:val="32"/>
          <w:szCs w:val="32"/>
        </w:rPr>
      </w:pPr>
      <w:r>
        <w:rPr>
          <w:rFonts w:ascii="仿宋" w:hAnsi="仿宋" w:eastAsia="仿宋"/>
          <w:sz w:val="32"/>
          <w:szCs w:val="32"/>
        </w:rPr>
        <w:t>20</w:t>
      </w:r>
      <w:r>
        <w:rPr>
          <w:rFonts w:hint="eastAsia" w:ascii="仿宋" w:hAnsi="仿宋" w:eastAsia="仿宋"/>
          <w:sz w:val="32"/>
          <w:szCs w:val="32"/>
          <w:lang w:val="en-US" w:eastAsia="zh-CN"/>
        </w:rPr>
        <w:t>20</w:t>
      </w:r>
      <w:r>
        <w:rPr>
          <w:rFonts w:hint="eastAsia" w:ascii="仿宋" w:hAnsi="仿宋" w:eastAsia="仿宋"/>
          <w:sz w:val="32"/>
          <w:szCs w:val="32"/>
        </w:rPr>
        <w:t>年本部门财政</w:t>
      </w:r>
      <w:r>
        <w:rPr>
          <w:rFonts w:hint="eastAsia" w:ascii="仿宋" w:hAnsi="仿宋" w:eastAsia="仿宋"/>
          <w:sz w:val="32"/>
          <w:szCs w:val="32"/>
          <w:lang w:val="en-US" w:eastAsia="zh-CN"/>
        </w:rPr>
        <w:t>一般公共</w:t>
      </w:r>
      <w:r>
        <w:rPr>
          <w:rFonts w:hint="eastAsia" w:ascii="仿宋" w:hAnsi="仿宋" w:eastAsia="仿宋"/>
          <w:sz w:val="32"/>
          <w:szCs w:val="32"/>
        </w:rPr>
        <w:t>预算收入总计</w:t>
      </w:r>
      <w:r>
        <w:rPr>
          <w:rFonts w:hint="eastAsia" w:ascii="仿宋" w:hAnsi="仿宋" w:eastAsia="仿宋"/>
          <w:sz w:val="32"/>
          <w:szCs w:val="32"/>
          <w:lang w:val="en-US" w:eastAsia="zh-CN"/>
        </w:rPr>
        <w:t>393.77</w:t>
      </w:r>
      <w:r>
        <w:rPr>
          <w:rFonts w:hint="eastAsia" w:ascii="仿宋" w:hAnsi="仿宋" w:eastAsia="仿宋"/>
          <w:sz w:val="32"/>
          <w:szCs w:val="32"/>
        </w:rPr>
        <w:t>万元，</w:t>
      </w:r>
      <w:r>
        <w:rPr>
          <w:rFonts w:hint="eastAsia" w:ascii="仿宋" w:hAnsi="仿宋" w:eastAsia="仿宋"/>
          <w:sz w:val="32"/>
          <w:szCs w:val="32"/>
          <w:lang w:val="en-US" w:eastAsia="zh-CN"/>
        </w:rPr>
        <w:t>一般公共预算</w:t>
      </w:r>
      <w:r>
        <w:rPr>
          <w:rFonts w:hint="eastAsia" w:ascii="仿宋" w:hAnsi="仿宋" w:eastAsia="仿宋"/>
          <w:sz w:val="32"/>
          <w:szCs w:val="32"/>
        </w:rPr>
        <w:t>支出总计</w:t>
      </w:r>
      <w:r>
        <w:rPr>
          <w:rFonts w:hint="eastAsia" w:ascii="仿宋" w:hAnsi="仿宋" w:eastAsia="仿宋"/>
          <w:sz w:val="32"/>
          <w:szCs w:val="32"/>
          <w:lang w:val="en-US" w:eastAsia="zh-CN"/>
        </w:rPr>
        <w:t>393.77</w:t>
      </w:r>
      <w:r>
        <w:rPr>
          <w:rFonts w:hint="eastAsia" w:ascii="仿宋" w:hAnsi="仿宋" w:eastAsia="仿宋"/>
          <w:sz w:val="32"/>
          <w:szCs w:val="32"/>
        </w:rPr>
        <w:t>万元。其中：基本支出</w:t>
      </w:r>
      <w:r>
        <w:rPr>
          <w:rFonts w:hint="eastAsia" w:ascii="仿宋" w:hAnsi="仿宋" w:eastAsia="仿宋"/>
          <w:sz w:val="32"/>
          <w:szCs w:val="32"/>
          <w:lang w:val="en-US" w:eastAsia="zh-CN"/>
        </w:rPr>
        <w:t>288.37</w:t>
      </w:r>
      <w:r>
        <w:rPr>
          <w:rFonts w:hint="eastAsia" w:ascii="仿宋" w:hAnsi="仿宋" w:eastAsia="仿宋"/>
          <w:sz w:val="32"/>
          <w:szCs w:val="32"/>
        </w:rPr>
        <w:t>万元，占比</w:t>
      </w:r>
      <w:r>
        <w:rPr>
          <w:rFonts w:hint="eastAsia" w:ascii="仿宋" w:hAnsi="仿宋" w:eastAsia="仿宋"/>
          <w:sz w:val="32"/>
          <w:szCs w:val="32"/>
          <w:lang w:val="en-US" w:eastAsia="zh-CN"/>
        </w:rPr>
        <w:t>73</w:t>
      </w:r>
      <w:r>
        <w:rPr>
          <w:rFonts w:hint="eastAsia" w:ascii="仿宋" w:hAnsi="仿宋" w:eastAsia="仿宋"/>
          <w:sz w:val="32"/>
          <w:szCs w:val="32"/>
        </w:rPr>
        <w:t>%，项目支出</w:t>
      </w:r>
      <w:r>
        <w:rPr>
          <w:rFonts w:hint="eastAsia" w:ascii="仿宋" w:hAnsi="仿宋" w:eastAsia="仿宋"/>
          <w:sz w:val="32"/>
          <w:szCs w:val="32"/>
          <w:lang w:val="en-US" w:eastAsia="zh-CN"/>
        </w:rPr>
        <w:t>105.40</w:t>
      </w:r>
      <w:r>
        <w:rPr>
          <w:rFonts w:hint="eastAsia" w:ascii="仿宋" w:hAnsi="仿宋" w:eastAsia="仿宋"/>
          <w:sz w:val="32"/>
          <w:szCs w:val="32"/>
        </w:rPr>
        <w:t>万元，占比</w:t>
      </w:r>
      <w:r>
        <w:rPr>
          <w:rFonts w:hint="eastAsia" w:ascii="仿宋" w:hAnsi="仿宋" w:eastAsia="仿宋"/>
          <w:sz w:val="32"/>
          <w:szCs w:val="32"/>
          <w:lang w:val="en-US" w:eastAsia="zh-CN"/>
        </w:rPr>
        <w:t>27</w:t>
      </w:r>
      <w:r>
        <w:rPr>
          <w:rFonts w:hint="eastAsia" w:ascii="仿宋" w:hAnsi="仿宋" w:eastAsia="仿宋"/>
          <w:sz w:val="32"/>
          <w:szCs w:val="32"/>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sz w:val="32"/>
          <w:szCs w:val="32"/>
        </w:rPr>
      </w:pPr>
      <w:r>
        <w:rPr>
          <w:rFonts w:hint="eastAsia" w:ascii="仿宋" w:hAnsi="仿宋" w:eastAsia="仿宋"/>
          <w:sz w:val="32"/>
          <w:szCs w:val="32"/>
        </w:rPr>
        <w:t>20</w:t>
      </w:r>
      <w:r>
        <w:rPr>
          <w:rFonts w:hint="eastAsia" w:ascii="仿宋" w:hAnsi="仿宋" w:eastAsia="仿宋"/>
          <w:sz w:val="32"/>
          <w:szCs w:val="32"/>
          <w:lang w:val="en-US" w:eastAsia="zh-CN"/>
        </w:rPr>
        <w:t>20</w:t>
      </w:r>
      <w:r>
        <w:rPr>
          <w:rFonts w:hint="eastAsia" w:ascii="仿宋" w:hAnsi="仿宋" w:eastAsia="仿宋"/>
          <w:sz w:val="32"/>
          <w:szCs w:val="32"/>
        </w:rPr>
        <w:t>年本部门财政</w:t>
      </w:r>
      <w:r>
        <w:rPr>
          <w:rFonts w:hint="eastAsia" w:ascii="仿宋" w:hAnsi="仿宋" w:eastAsia="仿宋"/>
          <w:sz w:val="32"/>
          <w:szCs w:val="32"/>
          <w:lang w:val="en-US" w:eastAsia="zh-CN"/>
        </w:rPr>
        <w:t>一般公共</w:t>
      </w:r>
      <w:r>
        <w:rPr>
          <w:rFonts w:hint="eastAsia" w:ascii="仿宋" w:hAnsi="仿宋" w:eastAsia="仿宋"/>
          <w:sz w:val="32"/>
          <w:szCs w:val="32"/>
        </w:rPr>
        <w:t>预算</w:t>
      </w:r>
      <w:r>
        <w:rPr>
          <w:rFonts w:hint="eastAsia" w:ascii="仿宋" w:hAnsi="仿宋" w:eastAsia="仿宋" w:cs="仿宋"/>
          <w:sz w:val="32"/>
          <w:szCs w:val="32"/>
          <w:lang w:val="en-US" w:eastAsia="zh-CN"/>
        </w:rPr>
        <w:t>收入和支出均</w:t>
      </w:r>
      <w:r>
        <w:rPr>
          <w:rFonts w:hint="eastAsia" w:ascii="仿宋" w:hAnsi="仿宋" w:eastAsia="仿宋"/>
          <w:sz w:val="32"/>
          <w:szCs w:val="32"/>
        </w:rPr>
        <w:t>较上年减少</w:t>
      </w:r>
      <w:r>
        <w:rPr>
          <w:rFonts w:hint="eastAsia" w:ascii="仿宋" w:hAnsi="仿宋" w:eastAsia="仿宋"/>
          <w:sz w:val="32"/>
          <w:szCs w:val="32"/>
          <w:lang w:val="en-US" w:eastAsia="zh-CN"/>
        </w:rPr>
        <w:t>53.27</w:t>
      </w:r>
      <w:r>
        <w:rPr>
          <w:rFonts w:hint="eastAsia" w:ascii="仿宋" w:hAnsi="仿宋" w:eastAsia="仿宋"/>
          <w:sz w:val="32"/>
          <w:szCs w:val="32"/>
        </w:rPr>
        <w:t>万元，减少</w:t>
      </w:r>
      <w:r>
        <w:rPr>
          <w:rFonts w:hint="eastAsia" w:ascii="仿宋" w:hAnsi="仿宋" w:eastAsia="仿宋"/>
          <w:color w:val="000000" w:themeColor="text1"/>
          <w:sz w:val="32"/>
          <w:szCs w:val="32"/>
          <w:lang w:val="en-US" w:eastAsia="zh-CN"/>
        </w:rPr>
        <w:t>14</w:t>
      </w:r>
      <w:r>
        <w:rPr>
          <w:rFonts w:hint="eastAsia" w:ascii="仿宋" w:hAnsi="仿宋" w:eastAsia="仿宋"/>
          <w:color w:val="000000" w:themeColor="text1"/>
          <w:sz w:val="32"/>
          <w:szCs w:val="32"/>
        </w:rPr>
        <w:t>%。</w:t>
      </w:r>
      <w:r>
        <w:rPr>
          <w:rFonts w:hint="eastAsia" w:ascii="仿宋" w:hAnsi="仿宋" w:eastAsia="仿宋"/>
          <w:sz w:val="32"/>
          <w:szCs w:val="32"/>
        </w:rPr>
        <w:t>主要原因是按照厉行节约有关要求，压减一般性支出、严控政策及重点专项经费支出，以及一次性、临时性项目支出的减少。</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黑体" w:hAnsi="黑体" w:eastAsia="黑体"/>
          <w:sz w:val="32"/>
          <w:szCs w:val="32"/>
        </w:rPr>
      </w:pPr>
      <w:r>
        <w:rPr>
          <w:rFonts w:hint="eastAsia" w:ascii="黑体" w:hAnsi="黑体" w:eastAsia="黑体"/>
          <w:sz w:val="32"/>
          <w:szCs w:val="32"/>
          <w:lang w:val="en-US" w:eastAsia="zh-CN"/>
        </w:rPr>
        <w:t>三、</w:t>
      </w:r>
      <w:r>
        <w:rPr>
          <w:rFonts w:hint="eastAsia" w:ascii="黑体" w:hAnsi="黑体" w:eastAsia="黑体"/>
          <w:sz w:val="32"/>
          <w:szCs w:val="32"/>
        </w:rPr>
        <w:t>一般公共预算基本支出情况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sz w:val="32"/>
          <w:szCs w:val="32"/>
          <w:lang w:val="en-US" w:eastAsia="zh-CN"/>
        </w:rPr>
      </w:pPr>
      <w:r>
        <w:rPr>
          <w:rFonts w:hint="eastAsia" w:ascii="仿宋" w:hAnsi="仿宋" w:eastAsia="仿宋"/>
          <w:sz w:val="32"/>
          <w:szCs w:val="32"/>
        </w:rPr>
        <w:t>2020年本部门一般公共预算基本支出</w:t>
      </w:r>
      <w:r>
        <w:rPr>
          <w:rFonts w:hint="eastAsia" w:ascii="仿宋" w:hAnsi="仿宋" w:eastAsia="仿宋"/>
          <w:sz w:val="32"/>
          <w:szCs w:val="32"/>
          <w:lang w:val="en-US" w:eastAsia="zh-CN"/>
        </w:rPr>
        <w:t>288.37</w:t>
      </w:r>
      <w:r>
        <w:rPr>
          <w:rFonts w:hint="eastAsia" w:ascii="仿宋" w:hAnsi="仿宋" w:eastAsia="仿宋"/>
          <w:sz w:val="32"/>
          <w:szCs w:val="32"/>
        </w:rPr>
        <w:t>万元，其中：人员经费</w:t>
      </w:r>
      <w:r>
        <w:rPr>
          <w:rFonts w:hint="eastAsia" w:ascii="仿宋" w:hAnsi="仿宋" w:eastAsia="仿宋"/>
          <w:sz w:val="32"/>
          <w:szCs w:val="32"/>
          <w:lang w:val="en-US" w:eastAsia="zh-CN"/>
        </w:rPr>
        <w:t>267.87</w:t>
      </w:r>
      <w:r>
        <w:rPr>
          <w:rFonts w:hint="eastAsia" w:ascii="仿宋" w:hAnsi="仿宋" w:eastAsia="仿宋"/>
          <w:sz w:val="32"/>
          <w:szCs w:val="32"/>
        </w:rPr>
        <w:t>万元，主要包括：基本工资、津贴补贴、绩效工资、机关事业单位基本养老保险缴费、医疗保险缴费、其他社会保障缴费、住房公积金、其他工资福利支出、离休费、退休费；公用经费</w:t>
      </w:r>
      <w:r>
        <w:rPr>
          <w:rFonts w:hint="eastAsia" w:ascii="仿宋" w:hAnsi="仿宋" w:eastAsia="仿宋"/>
          <w:sz w:val="32"/>
          <w:szCs w:val="32"/>
          <w:lang w:val="en-US" w:eastAsia="zh-CN"/>
        </w:rPr>
        <w:t>20.5</w:t>
      </w:r>
      <w:r>
        <w:rPr>
          <w:rFonts w:hint="eastAsia" w:ascii="仿宋" w:hAnsi="仿宋" w:eastAsia="仿宋"/>
          <w:sz w:val="32"/>
          <w:szCs w:val="32"/>
        </w:rPr>
        <w:t>万元，主要包括：办公费、维修（护）费、其他商品和服务支出</w:t>
      </w:r>
      <w:r>
        <w:rPr>
          <w:rFonts w:hint="eastAsia" w:ascii="仿宋" w:hAnsi="仿宋" w:eastAsia="仿宋"/>
          <w:sz w:val="32"/>
          <w:szCs w:val="32"/>
          <w:lang w:val="en-US" w:eastAsia="zh-CN"/>
        </w:rPr>
        <w:t>等</w:t>
      </w:r>
      <w:r>
        <w:rPr>
          <w:rFonts w:hint="eastAsia" w:ascii="仿宋" w:hAnsi="仿宋" w:eastAsia="仿宋"/>
          <w:sz w:val="32"/>
          <w:szCs w:val="32"/>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ascii="黑体" w:hAnsi="黑体" w:eastAsia="黑体"/>
          <w:sz w:val="32"/>
          <w:szCs w:val="32"/>
        </w:rPr>
      </w:pPr>
      <w:r>
        <w:rPr>
          <w:rFonts w:hint="eastAsia" w:ascii="黑体" w:hAnsi="黑体" w:eastAsia="黑体"/>
          <w:sz w:val="32"/>
          <w:szCs w:val="32"/>
          <w:lang w:val="en-US" w:eastAsia="zh-CN"/>
        </w:rPr>
        <w:t>四</w:t>
      </w:r>
      <w:r>
        <w:rPr>
          <w:rFonts w:hint="eastAsia" w:ascii="黑体" w:hAnsi="黑体" w:eastAsia="黑体"/>
          <w:sz w:val="32"/>
          <w:szCs w:val="32"/>
        </w:rPr>
        <w:t>、机关运行经费安排情况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ascii="仿宋" w:hAnsi="仿宋" w:eastAsia="仿宋"/>
          <w:sz w:val="32"/>
          <w:szCs w:val="32"/>
        </w:rPr>
      </w:pPr>
      <w:r>
        <w:rPr>
          <w:rFonts w:ascii="仿宋" w:hAnsi="仿宋" w:eastAsia="仿宋"/>
          <w:sz w:val="32"/>
          <w:szCs w:val="32"/>
        </w:rPr>
        <w:t>20</w:t>
      </w:r>
      <w:r>
        <w:rPr>
          <w:rFonts w:hint="eastAsia" w:ascii="仿宋" w:hAnsi="仿宋" w:eastAsia="仿宋"/>
          <w:sz w:val="32"/>
          <w:szCs w:val="32"/>
          <w:lang w:val="en-US" w:eastAsia="zh-CN"/>
        </w:rPr>
        <w:t>20</w:t>
      </w:r>
      <w:r>
        <w:rPr>
          <w:rFonts w:hint="eastAsia" w:ascii="仿宋" w:hAnsi="仿宋" w:eastAsia="仿宋"/>
          <w:sz w:val="32"/>
          <w:szCs w:val="32"/>
        </w:rPr>
        <w:t>年本部门机关运行经费安排</w:t>
      </w:r>
      <w:r>
        <w:rPr>
          <w:rFonts w:hint="eastAsia" w:ascii="仿宋" w:hAnsi="仿宋" w:eastAsia="仿宋"/>
          <w:sz w:val="32"/>
          <w:szCs w:val="32"/>
          <w:lang w:val="en-US" w:eastAsia="zh-CN"/>
        </w:rPr>
        <w:t>20.50</w:t>
      </w:r>
      <w:r>
        <w:rPr>
          <w:rFonts w:hint="eastAsia" w:ascii="仿宋" w:hAnsi="仿宋" w:eastAsia="仿宋"/>
          <w:sz w:val="32"/>
          <w:szCs w:val="32"/>
        </w:rPr>
        <w:t>万元，主要用于保障机关机构正常运转及正常履职需要的办公费、维修（护）费、其他商品和服务支出</w:t>
      </w:r>
      <w:r>
        <w:rPr>
          <w:rFonts w:hint="eastAsia" w:ascii="仿宋" w:hAnsi="仿宋" w:eastAsia="仿宋"/>
          <w:sz w:val="32"/>
          <w:szCs w:val="32"/>
          <w:lang w:val="en-US" w:eastAsia="zh-CN"/>
        </w:rPr>
        <w:t>等方面</w:t>
      </w:r>
      <w:r>
        <w:rPr>
          <w:rFonts w:hint="eastAsia" w:ascii="仿宋" w:hAnsi="仿宋" w:eastAsia="仿宋"/>
          <w:sz w:val="32"/>
          <w:szCs w:val="32"/>
        </w:rPr>
        <w:t>，比上年减少</w:t>
      </w:r>
      <w:r>
        <w:rPr>
          <w:rFonts w:hint="eastAsia" w:ascii="仿宋" w:hAnsi="仿宋" w:eastAsia="仿宋"/>
          <w:sz w:val="32"/>
          <w:szCs w:val="32"/>
          <w:lang w:val="en-US" w:eastAsia="zh-CN"/>
        </w:rPr>
        <w:t>2.25</w:t>
      </w:r>
      <w:r>
        <w:rPr>
          <w:rFonts w:hint="eastAsia" w:ascii="仿宋" w:hAnsi="仿宋" w:eastAsia="仿宋"/>
          <w:sz w:val="32"/>
          <w:szCs w:val="32"/>
        </w:rPr>
        <w:t>万元，减少</w:t>
      </w:r>
      <w:r>
        <w:rPr>
          <w:rFonts w:hint="eastAsia" w:ascii="仿宋" w:hAnsi="仿宋" w:eastAsia="仿宋"/>
          <w:sz w:val="32"/>
          <w:szCs w:val="32"/>
          <w:lang w:val="en-US" w:eastAsia="zh-CN"/>
        </w:rPr>
        <w:t>11</w:t>
      </w:r>
      <w:r>
        <w:rPr>
          <w:rFonts w:hint="eastAsia" w:ascii="仿宋" w:hAnsi="仿宋" w:eastAsia="仿宋"/>
          <w:sz w:val="32"/>
          <w:szCs w:val="32"/>
        </w:rPr>
        <w:t>%，主要原因是深入贯彻落实中央八项规定和厉行节约有关精神。</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ascii="黑体" w:hAnsi="黑体" w:eastAsia="黑体"/>
          <w:sz w:val="32"/>
          <w:szCs w:val="32"/>
        </w:rPr>
      </w:pPr>
      <w:r>
        <w:rPr>
          <w:rFonts w:hint="eastAsia" w:ascii="黑体" w:hAnsi="黑体" w:eastAsia="黑体"/>
          <w:sz w:val="32"/>
          <w:szCs w:val="32"/>
          <w:lang w:val="en-US" w:eastAsia="zh-CN"/>
        </w:rPr>
        <w:t>五</w:t>
      </w:r>
      <w:r>
        <w:rPr>
          <w:rFonts w:hint="eastAsia" w:ascii="黑体" w:hAnsi="黑体" w:eastAsia="黑体"/>
          <w:sz w:val="32"/>
          <w:szCs w:val="32"/>
        </w:rPr>
        <w:t>、“三公”经费安排情况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sz w:val="32"/>
          <w:szCs w:val="32"/>
          <w:lang w:val="en-US" w:eastAsia="zh-CN"/>
        </w:rPr>
      </w:pPr>
      <w:r>
        <w:rPr>
          <w:rFonts w:ascii="仿宋" w:hAnsi="仿宋" w:eastAsia="仿宋"/>
          <w:sz w:val="32"/>
          <w:szCs w:val="32"/>
        </w:rPr>
        <w:t>20</w:t>
      </w:r>
      <w:r>
        <w:rPr>
          <w:rFonts w:hint="eastAsia" w:ascii="仿宋" w:hAnsi="仿宋" w:eastAsia="仿宋"/>
          <w:sz w:val="32"/>
          <w:szCs w:val="32"/>
          <w:lang w:val="en-US" w:eastAsia="zh-CN"/>
        </w:rPr>
        <w:t>20</w:t>
      </w:r>
      <w:r>
        <w:rPr>
          <w:rFonts w:hint="eastAsia" w:ascii="仿宋" w:hAnsi="仿宋" w:eastAsia="仿宋"/>
          <w:sz w:val="32"/>
          <w:szCs w:val="32"/>
        </w:rPr>
        <w:t>年本部门“三公”经费预算</w:t>
      </w:r>
      <w:r>
        <w:rPr>
          <w:rFonts w:hint="eastAsia" w:ascii="仿宋" w:hAnsi="仿宋" w:eastAsia="仿宋"/>
          <w:sz w:val="32"/>
          <w:szCs w:val="32"/>
          <w:lang w:val="en-US" w:eastAsia="zh-CN"/>
        </w:rPr>
        <w:t>5</w:t>
      </w:r>
      <w:r>
        <w:rPr>
          <w:rFonts w:hint="eastAsia" w:ascii="仿宋" w:hAnsi="仿宋" w:eastAsia="仿宋"/>
          <w:sz w:val="32"/>
          <w:szCs w:val="32"/>
        </w:rPr>
        <w:t>万元</w:t>
      </w:r>
      <w:r>
        <w:rPr>
          <w:rFonts w:hint="eastAsia" w:ascii="仿宋" w:hAnsi="仿宋" w:eastAsia="仿宋"/>
          <w:sz w:val="32"/>
          <w:szCs w:val="32"/>
          <w:lang w:eastAsia="zh-CN"/>
        </w:rPr>
        <w:t>，较上年减少</w:t>
      </w:r>
      <w:r>
        <w:rPr>
          <w:rFonts w:hint="eastAsia" w:ascii="仿宋" w:hAnsi="仿宋" w:eastAsia="仿宋"/>
          <w:sz w:val="32"/>
          <w:szCs w:val="32"/>
          <w:lang w:val="en-US" w:eastAsia="zh-CN"/>
        </w:rPr>
        <w:t>50%，主要原因是由于深入贯彻厉行节约有关精神，持续压减一般性支出。</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ascii="仿宋" w:hAnsi="仿宋" w:eastAsia="仿宋"/>
          <w:sz w:val="32"/>
          <w:szCs w:val="32"/>
        </w:rPr>
      </w:pPr>
      <w:r>
        <w:rPr>
          <w:rFonts w:hint="eastAsia" w:ascii="仿宋" w:hAnsi="仿宋" w:eastAsia="仿宋"/>
          <w:sz w:val="32"/>
          <w:szCs w:val="32"/>
        </w:rPr>
        <w:t>1.因公出国（境）费0万元；</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ascii="仿宋" w:hAnsi="仿宋" w:eastAsia="仿宋"/>
          <w:sz w:val="32"/>
          <w:szCs w:val="32"/>
        </w:rPr>
      </w:pPr>
      <w:r>
        <w:rPr>
          <w:rFonts w:hint="eastAsia" w:ascii="仿宋" w:hAnsi="仿宋" w:eastAsia="仿宋"/>
          <w:sz w:val="32"/>
          <w:szCs w:val="32"/>
        </w:rPr>
        <w:t>2.公务用车购置及运行费</w:t>
      </w:r>
      <w:r>
        <w:rPr>
          <w:rFonts w:hint="eastAsia" w:ascii="仿宋" w:hAnsi="仿宋" w:eastAsia="仿宋"/>
          <w:sz w:val="32"/>
          <w:szCs w:val="32"/>
          <w:lang w:val="en-US" w:eastAsia="zh-CN"/>
        </w:rPr>
        <w:t>5</w:t>
      </w:r>
      <w:r>
        <w:rPr>
          <w:rFonts w:hint="eastAsia" w:ascii="仿宋" w:hAnsi="仿宋" w:eastAsia="仿宋"/>
          <w:sz w:val="32"/>
          <w:szCs w:val="32"/>
        </w:rPr>
        <w:t>万元，其中：公务用车购置</w:t>
      </w:r>
      <w:r>
        <w:rPr>
          <w:rFonts w:hint="eastAsia" w:ascii="仿宋" w:hAnsi="仿宋" w:eastAsia="仿宋"/>
          <w:sz w:val="32"/>
          <w:szCs w:val="32"/>
          <w:lang w:val="en-US" w:eastAsia="zh-CN"/>
        </w:rPr>
        <w:t>0</w:t>
      </w:r>
      <w:r>
        <w:rPr>
          <w:rFonts w:hint="eastAsia" w:ascii="仿宋" w:hAnsi="仿宋" w:eastAsia="仿宋"/>
          <w:sz w:val="32"/>
          <w:szCs w:val="32"/>
        </w:rPr>
        <w:t>万元，公务用车运行费</w:t>
      </w:r>
      <w:r>
        <w:rPr>
          <w:rFonts w:hint="eastAsia" w:ascii="仿宋" w:hAnsi="仿宋" w:eastAsia="仿宋"/>
          <w:sz w:val="32"/>
          <w:szCs w:val="32"/>
          <w:lang w:val="en-US" w:eastAsia="zh-CN"/>
        </w:rPr>
        <w:t>5</w:t>
      </w:r>
      <w:r>
        <w:rPr>
          <w:rFonts w:hint="eastAsia" w:ascii="仿宋" w:hAnsi="仿宋" w:eastAsia="仿宋"/>
          <w:sz w:val="32"/>
          <w:szCs w:val="32"/>
        </w:rPr>
        <w:t>万元。</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ascii="仿宋" w:hAnsi="仿宋" w:eastAsia="仿宋"/>
          <w:sz w:val="32"/>
          <w:szCs w:val="32"/>
        </w:rPr>
      </w:pPr>
      <w:r>
        <w:rPr>
          <w:rFonts w:hint="eastAsia" w:ascii="仿宋" w:hAnsi="仿宋" w:eastAsia="仿宋"/>
          <w:sz w:val="32"/>
          <w:szCs w:val="32"/>
        </w:rPr>
        <w:t>3.公务接待费</w:t>
      </w:r>
      <w:r>
        <w:rPr>
          <w:rFonts w:hint="eastAsia" w:ascii="仿宋" w:hAnsi="仿宋" w:eastAsia="仿宋"/>
          <w:sz w:val="32"/>
          <w:szCs w:val="32"/>
          <w:lang w:val="en-US" w:eastAsia="zh-CN"/>
        </w:rPr>
        <w:t>0</w:t>
      </w:r>
      <w:r>
        <w:rPr>
          <w:rFonts w:hint="eastAsia" w:ascii="仿宋" w:hAnsi="仿宋" w:eastAsia="仿宋"/>
          <w:sz w:val="32"/>
          <w:szCs w:val="32"/>
        </w:rPr>
        <w:t>万元。</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ascii="仿宋" w:hAnsi="仿宋" w:eastAsia="仿宋"/>
          <w:sz w:val="32"/>
          <w:szCs w:val="32"/>
        </w:rPr>
      </w:pPr>
      <w:r>
        <w:rPr>
          <w:rFonts w:hint="eastAsia" w:ascii="黑体" w:hAnsi="黑体" w:eastAsia="黑体"/>
          <w:sz w:val="32"/>
          <w:szCs w:val="32"/>
          <w:lang w:val="en-US" w:eastAsia="zh-CN"/>
        </w:rPr>
        <w:t>六</w:t>
      </w:r>
      <w:r>
        <w:rPr>
          <w:rFonts w:hint="eastAsia" w:ascii="黑体" w:hAnsi="黑体" w:eastAsia="黑体"/>
          <w:sz w:val="32"/>
          <w:szCs w:val="32"/>
        </w:rPr>
        <w:t>、政府采购安排情况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sz w:val="32"/>
          <w:szCs w:val="32"/>
        </w:rPr>
      </w:pPr>
      <w:r>
        <w:rPr>
          <w:rFonts w:ascii="仿宋" w:hAnsi="仿宋" w:eastAsia="仿宋"/>
          <w:sz w:val="32"/>
          <w:szCs w:val="32"/>
        </w:rPr>
        <w:t>20</w:t>
      </w:r>
      <w:r>
        <w:rPr>
          <w:rFonts w:hint="eastAsia" w:ascii="仿宋" w:hAnsi="仿宋" w:eastAsia="仿宋"/>
          <w:sz w:val="32"/>
          <w:szCs w:val="32"/>
          <w:lang w:val="en-US" w:eastAsia="zh-CN"/>
        </w:rPr>
        <w:t>20</w:t>
      </w:r>
      <w:r>
        <w:rPr>
          <w:rFonts w:hint="eastAsia" w:ascii="仿宋" w:hAnsi="仿宋" w:eastAsia="仿宋"/>
          <w:sz w:val="32"/>
          <w:szCs w:val="32"/>
        </w:rPr>
        <w:t>年本部门无政府采购预算安排。</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ascii="黑体" w:hAnsi="黑体" w:eastAsia="黑体"/>
          <w:sz w:val="32"/>
          <w:szCs w:val="32"/>
        </w:rPr>
      </w:pPr>
      <w:r>
        <w:rPr>
          <w:rFonts w:hint="eastAsia" w:ascii="黑体" w:hAnsi="黑体" w:eastAsia="黑体"/>
          <w:sz w:val="32"/>
          <w:szCs w:val="32"/>
          <w:lang w:val="en-US" w:eastAsia="zh-CN"/>
        </w:rPr>
        <w:t>七</w:t>
      </w:r>
      <w:r>
        <w:rPr>
          <w:rFonts w:hint="eastAsia" w:ascii="黑体" w:hAnsi="黑体" w:eastAsia="黑体"/>
          <w:sz w:val="32"/>
          <w:szCs w:val="32"/>
        </w:rPr>
        <w:t>、政府性基金预算安排情况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sz w:val="32"/>
          <w:szCs w:val="32"/>
        </w:rPr>
      </w:pPr>
      <w:r>
        <w:rPr>
          <w:rFonts w:hint="eastAsia" w:ascii="仿宋" w:hAnsi="仿宋" w:eastAsia="仿宋" w:cs="仿宋"/>
          <w:sz w:val="32"/>
          <w:szCs w:val="32"/>
          <w:lang w:val="en-US" w:eastAsia="zh-CN"/>
        </w:rPr>
        <w:t>本部门无政府性基金预算收支安排，较上年无变动。</w:t>
      </w:r>
      <w:bookmarkStart w:id="0" w:name="_GoBack"/>
      <w:bookmarkEnd w:id="0"/>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ascii="黑体" w:hAnsi="黑体" w:eastAsia="黑体"/>
          <w:sz w:val="32"/>
          <w:szCs w:val="32"/>
        </w:rPr>
      </w:pPr>
      <w:r>
        <w:rPr>
          <w:rFonts w:hint="eastAsia" w:ascii="黑体" w:hAnsi="黑体" w:eastAsia="黑体"/>
          <w:sz w:val="32"/>
          <w:szCs w:val="32"/>
          <w:lang w:val="en-US" w:eastAsia="zh-CN"/>
        </w:rPr>
        <w:t>八</w:t>
      </w:r>
      <w:r>
        <w:rPr>
          <w:rFonts w:hint="eastAsia" w:ascii="黑体" w:hAnsi="黑体" w:eastAsia="黑体"/>
          <w:sz w:val="32"/>
          <w:szCs w:val="32"/>
        </w:rPr>
        <w:t>、</w:t>
      </w:r>
      <w:r>
        <w:rPr>
          <w:rFonts w:ascii="黑体" w:hAnsi="黑体" w:eastAsia="黑体"/>
          <w:sz w:val="32"/>
          <w:szCs w:val="32"/>
        </w:rPr>
        <w:t>国有资产占用情况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ascii="仿宋" w:hAnsi="仿宋" w:eastAsia="仿宋"/>
          <w:sz w:val="32"/>
          <w:szCs w:val="32"/>
        </w:rPr>
      </w:pPr>
      <w:r>
        <w:rPr>
          <w:rFonts w:ascii="仿宋" w:hAnsi="仿宋" w:eastAsia="仿宋"/>
          <w:sz w:val="32"/>
          <w:szCs w:val="32"/>
        </w:rPr>
        <w:t>截止20</w:t>
      </w:r>
      <w:r>
        <w:rPr>
          <w:rFonts w:hint="eastAsia" w:ascii="仿宋" w:hAnsi="仿宋" w:eastAsia="仿宋"/>
          <w:sz w:val="32"/>
          <w:szCs w:val="32"/>
          <w:lang w:val="en-US" w:eastAsia="zh-CN"/>
        </w:rPr>
        <w:t>19</w:t>
      </w:r>
      <w:r>
        <w:rPr>
          <w:rFonts w:hint="eastAsia" w:ascii="仿宋" w:hAnsi="仿宋" w:eastAsia="仿宋"/>
          <w:sz w:val="32"/>
          <w:szCs w:val="32"/>
        </w:rPr>
        <w:t>年末，本部门共有</w:t>
      </w:r>
      <w:r>
        <w:rPr>
          <w:rFonts w:hint="eastAsia" w:ascii="仿宋" w:hAnsi="仿宋" w:eastAsia="仿宋"/>
          <w:sz w:val="32"/>
          <w:szCs w:val="32"/>
          <w:lang w:val="en-US" w:eastAsia="zh-CN"/>
        </w:rPr>
        <w:t>公务</w:t>
      </w:r>
      <w:r>
        <w:rPr>
          <w:rFonts w:hint="eastAsia" w:ascii="仿宋" w:hAnsi="仿宋" w:eastAsia="仿宋"/>
          <w:sz w:val="32"/>
          <w:szCs w:val="32"/>
        </w:rPr>
        <w:t>车辆</w:t>
      </w:r>
      <w:r>
        <w:rPr>
          <w:rFonts w:hint="eastAsia" w:ascii="仿宋" w:hAnsi="仿宋" w:eastAsia="仿宋"/>
          <w:sz w:val="32"/>
          <w:szCs w:val="32"/>
          <w:lang w:val="en-US" w:eastAsia="zh-CN"/>
        </w:rPr>
        <w:t>1</w:t>
      </w:r>
      <w:r>
        <w:rPr>
          <w:rFonts w:hint="eastAsia" w:ascii="仿宋" w:hAnsi="仿宋" w:eastAsia="仿宋"/>
          <w:sz w:val="32"/>
          <w:szCs w:val="32"/>
        </w:rPr>
        <w:t>辆，其中：一般公务用车</w:t>
      </w:r>
      <w:r>
        <w:rPr>
          <w:rFonts w:hint="eastAsia" w:ascii="仿宋" w:hAnsi="仿宋" w:eastAsia="仿宋"/>
          <w:sz w:val="32"/>
          <w:szCs w:val="32"/>
          <w:lang w:val="en-US" w:eastAsia="zh-CN"/>
        </w:rPr>
        <w:t>1</w:t>
      </w:r>
      <w:r>
        <w:rPr>
          <w:rFonts w:hint="eastAsia" w:ascii="仿宋" w:hAnsi="仿宋" w:eastAsia="仿宋"/>
          <w:sz w:val="32"/>
          <w:szCs w:val="32"/>
        </w:rPr>
        <w:t>辆、一般执法执勤用车</w:t>
      </w:r>
      <w:r>
        <w:rPr>
          <w:rFonts w:hint="eastAsia" w:ascii="仿宋" w:hAnsi="仿宋" w:eastAsia="仿宋"/>
          <w:sz w:val="32"/>
          <w:szCs w:val="32"/>
          <w:lang w:val="en-US" w:eastAsia="zh-CN"/>
        </w:rPr>
        <w:t>0</w:t>
      </w:r>
      <w:r>
        <w:rPr>
          <w:rFonts w:hint="eastAsia" w:ascii="仿宋" w:hAnsi="仿宋" w:eastAsia="仿宋"/>
          <w:sz w:val="32"/>
          <w:szCs w:val="32"/>
        </w:rPr>
        <w:t>辆、特种专业技术用车</w:t>
      </w:r>
      <w:r>
        <w:rPr>
          <w:rFonts w:hint="eastAsia" w:ascii="仿宋" w:hAnsi="仿宋" w:eastAsia="仿宋"/>
          <w:sz w:val="32"/>
          <w:szCs w:val="32"/>
          <w:lang w:val="en-US" w:eastAsia="zh-CN"/>
        </w:rPr>
        <w:t>0</w:t>
      </w:r>
      <w:r>
        <w:rPr>
          <w:rFonts w:hint="eastAsia" w:ascii="仿宋" w:hAnsi="仿宋" w:eastAsia="仿宋"/>
          <w:sz w:val="32"/>
          <w:szCs w:val="32"/>
        </w:rPr>
        <w:t>辆，其他用车</w:t>
      </w:r>
      <w:r>
        <w:rPr>
          <w:rFonts w:hint="eastAsia" w:ascii="仿宋" w:hAnsi="仿宋" w:eastAsia="仿宋"/>
          <w:sz w:val="32"/>
          <w:szCs w:val="32"/>
          <w:lang w:val="en-US" w:eastAsia="zh-CN"/>
        </w:rPr>
        <w:t>0</w:t>
      </w:r>
      <w:r>
        <w:rPr>
          <w:rFonts w:hint="eastAsia" w:ascii="仿宋" w:hAnsi="仿宋" w:eastAsia="仿宋"/>
          <w:sz w:val="32"/>
          <w:szCs w:val="32"/>
        </w:rPr>
        <w:t>辆；单位价值</w:t>
      </w:r>
      <w:r>
        <w:rPr>
          <w:rFonts w:ascii="仿宋" w:hAnsi="仿宋" w:eastAsia="仿宋"/>
          <w:sz w:val="32"/>
          <w:szCs w:val="32"/>
        </w:rPr>
        <w:t>50</w:t>
      </w:r>
      <w:r>
        <w:rPr>
          <w:rFonts w:hint="eastAsia" w:ascii="仿宋" w:hAnsi="仿宋" w:eastAsia="仿宋"/>
          <w:sz w:val="32"/>
          <w:szCs w:val="32"/>
        </w:rPr>
        <w:t>万元以上通用设备</w:t>
      </w:r>
      <w:r>
        <w:rPr>
          <w:rFonts w:hint="eastAsia" w:ascii="仿宋" w:hAnsi="仿宋" w:eastAsia="仿宋"/>
          <w:sz w:val="32"/>
          <w:szCs w:val="32"/>
          <w:lang w:val="en-US" w:eastAsia="zh-CN"/>
        </w:rPr>
        <w:t>0</w:t>
      </w:r>
      <w:r>
        <w:rPr>
          <w:rFonts w:hint="eastAsia" w:ascii="仿宋" w:hAnsi="仿宋" w:eastAsia="仿宋"/>
          <w:sz w:val="32"/>
          <w:szCs w:val="32"/>
        </w:rPr>
        <w:t>台（套），单位价值</w:t>
      </w:r>
      <w:r>
        <w:rPr>
          <w:rFonts w:ascii="仿宋" w:hAnsi="仿宋" w:eastAsia="仿宋"/>
          <w:sz w:val="32"/>
          <w:szCs w:val="32"/>
        </w:rPr>
        <w:t>100</w:t>
      </w:r>
      <w:r>
        <w:rPr>
          <w:rFonts w:hint="eastAsia" w:ascii="仿宋" w:hAnsi="仿宋" w:eastAsia="仿宋"/>
          <w:sz w:val="32"/>
          <w:szCs w:val="32"/>
        </w:rPr>
        <w:t>万元以上专用设备</w:t>
      </w:r>
      <w:r>
        <w:rPr>
          <w:rFonts w:hint="eastAsia" w:ascii="仿宋" w:hAnsi="仿宋" w:eastAsia="仿宋"/>
          <w:sz w:val="32"/>
          <w:szCs w:val="32"/>
          <w:lang w:val="en-US" w:eastAsia="zh-CN"/>
        </w:rPr>
        <w:t>0</w:t>
      </w:r>
      <w:r>
        <w:rPr>
          <w:rFonts w:hint="eastAsia" w:ascii="仿宋" w:hAnsi="仿宋" w:eastAsia="仿宋"/>
          <w:sz w:val="32"/>
          <w:szCs w:val="32"/>
        </w:rPr>
        <w:t>台（套）。</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ascii="黑体" w:hAnsi="黑体" w:eastAsia="黑体"/>
          <w:sz w:val="32"/>
          <w:szCs w:val="32"/>
        </w:rPr>
      </w:pPr>
      <w:r>
        <w:rPr>
          <w:rFonts w:hint="eastAsia" w:ascii="黑体" w:hAnsi="黑体" w:eastAsia="黑体"/>
          <w:sz w:val="32"/>
          <w:szCs w:val="32"/>
          <w:lang w:val="en-US" w:eastAsia="zh-CN"/>
        </w:rPr>
        <w:t>九</w:t>
      </w:r>
      <w:r>
        <w:rPr>
          <w:rFonts w:hint="eastAsia" w:ascii="黑体" w:hAnsi="黑体" w:eastAsia="黑体"/>
          <w:sz w:val="32"/>
          <w:szCs w:val="32"/>
        </w:rPr>
        <w:t>、预算绩效管理工作开展情况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 w:hAnsi="仿宋" w:eastAsia="仿宋"/>
          <w:sz w:val="32"/>
          <w:szCs w:val="32"/>
        </w:rPr>
      </w:pPr>
      <w:r>
        <w:rPr>
          <w:rFonts w:hint="eastAsia" w:ascii="仿宋" w:hAnsi="仿宋" w:eastAsia="仿宋"/>
          <w:sz w:val="32"/>
          <w:szCs w:val="32"/>
        </w:rPr>
        <w:t>按照《濮阳市华龙区财政局关于编制区级20</w:t>
      </w:r>
      <w:r>
        <w:rPr>
          <w:rFonts w:hint="eastAsia" w:ascii="仿宋" w:hAnsi="仿宋" w:eastAsia="仿宋"/>
          <w:sz w:val="32"/>
          <w:szCs w:val="32"/>
          <w:lang w:val="en-US" w:eastAsia="zh-CN"/>
        </w:rPr>
        <w:t>20</w:t>
      </w:r>
      <w:r>
        <w:rPr>
          <w:rFonts w:hint="eastAsia" w:ascii="仿宋" w:hAnsi="仿宋" w:eastAsia="仿宋"/>
          <w:sz w:val="32"/>
          <w:szCs w:val="32"/>
        </w:rPr>
        <w:t>年部门预算（草案）和20</w:t>
      </w:r>
      <w:r>
        <w:rPr>
          <w:rFonts w:hint="eastAsia" w:ascii="仿宋" w:hAnsi="仿宋" w:eastAsia="仿宋"/>
          <w:sz w:val="32"/>
          <w:szCs w:val="32"/>
          <w:lang w:val="en-US" w:eastAsia="zh-CN"/>
        </w:rPr>
        <w:t>20</w:t>
      </w:r>
      <w:r>
        <w:rPr>
          <w:rFonts w:hint="eastAsia" w:ascii="仿宋" w:hAnsi="仿宋" w:eastAsia="仿宋"/>
          <w:sz w:val="32"/>
          <w:szCs w:val="32"/>
        </w:rPr>
        <w:t>-202</w:t>
      </w:r>
      <w:r>
        <w:rPr>
          <w:rFonts w:hint="eastAsia" w:ascii="仿宋" w:hAnsi="仿宋" w:eastAsia="仿宋"/>
          <w:sz w:val="32"/>
          <w:szCs w:val="32"/>
          <w:lang w:val="en-US" w:eastAsia="zh-CN"/>
        </w:rPr>
        <w:t>2</w:t>
      </w:r>
      <w:r>
        <w:rPr>
          <w:rFonts w:hint="eastAsia" w:ascii="仿宋" w:hAnsi="仿宋" w:eastAsia="仿宋"/>
          <w:sz w:val="32"/>
          <w:szCs w:val="32"/>
        </w:rPr>
        <w:t>年财政规划的通知》（华龙财〔201</w:t>
      </w:r>
      <w:r>
        <w:rPr>
          <w:rFonts w:hint="eastAsia" w:ascii="仿宋" w:hAnsi="仿宋" w:eastAsia="仿宋"/>
          <w:sz w:val="32"/>
          <w:szCs w:val="32"/>
          <w:lang w:val="en-US" w:eastAsia="zh-CN"/>
        </w:rPr>
        <w:t>9</w:t>
      </w:r>
      <w:r>
        <w:rPr>
          <w:rFonts w:hint="eastAsia" w:ascii="仿宋" w:hAnsi="仿宋" w:eastAsia="仿宋"/>
          <w:sz w:val="32"/>
          <w:szCs w:val="32"/>
        </w:rPr>
        <w:t>〕10</w:t>
      </w:r>
      <w:r>
        <w:rPr>
          <w:rFonts w:hint="eastAsia" w:ascii="仿宋" w:hAnsi="仿宋" w:eastAsia="仿宋"/>
          <w:sz w:val="32"/>
          <w:szCs w:val="32"/>
          <w:lang w:val="en-US" w:eastAsia="zh-CN"/>
        </w:rPr>
        <w:t>8</w:t>
      </w:r>
      <w:r>
        <w:rPr>
          <w:rFonts w:hint="eastAsia" w:ascii="仿宋" w:hAnsi="仿宋" w:eastAsia="仿宋"/>
          <w:sz w:val="32"/>
          <w:szCs w:val="32"/>
        </w:rPr>
        <w:t>号）有关全面推进预算绩效管理方面的要求，本部门牢固树立“讲绩效、重绩效、用绩效”的绩效管理理念，年度预算申报时，针对政策及重点项目逐项设立并报送了预算绩效目标</w:t>
      </w:r>
      <w:r>
        <w:rPr>
          <w:rFonts w:hint="eastAsia" w:ascii="仿宋" w:hAnsi="仿宋" w:eastAsia="仿宋"/>
          <w:sz w:val="32"/>
          <w:szCs w:val="32"/>
          <w:lang w:eastAsia="zh-CN"/>
        </w:rPr>
        <w:t>。</w:t>
      </w:r>
      <w:r>
        <w:rPr>
          <w:rFonts w:hint="eastAsia" w:ascii="仿宋" w:hAnsi="仿宋" w:eastAsia="仿宋"/>
          <w:sz w:val="32"/>
          <w:szCs w:val="32"/>
        </w:rPr>
        <w:t>绩效目标设定涉及</w:t>
      </w:r>
      <w:r>
        <w:rPr>
          <w:rFonts w:hint="eastAsia" w:ascii="仿宋" w:hAnsi="仿宋" w:eastAsia="仿宋"/>
          <w:sz w:val="32"/>
          <w:szCs w:val="32"/>
          <w:lang w:val="en-US" w:eastAsia="zh-CN"/>
        </w:rPr>
        <w:t>3</w:t>
      </w:r>
      <w:r>
        <w:rPr>
          <w:rFonts w:hint="eastAsia" w:ascii="仿宋" w:hAnsi="仿宋" w:eastAsia="仿宋"/>
          <w:sz w:val="32"/>
          <w:szCs w:val="32"/>
        </w:rPr>
        <w:t>个</w:t>
      </w:r>
      <w:r>
        <w:rPr>
          <w:rFonts w:hint="eastAsia" w:ascii="仿宋" w:hAnsi="仿宋" w:eastAsia="仿宋"/>
          <w:sz w:val="32"/>
          <w:szCs w:val="32"/>
          <w:lang w:val="en-US" w:eastAsia="zh-CN"/>
        </w:rPr>
        <w:t>专项</w:t>
      </w:r>
      <w:r>
        <w:rPr>
          <w:rFonts w:hint="eastAsia" w:ascii="仿宋" w:hAnsi="仿宋" w:eastAsia="仿宋"/>
          <w:sz w:val="32"/>
          <w:szCs w:val="32"/>
        </w:rPr>
        <w:t>项目，</w:t>
      </w:r>
      <w:r>
        <w:rPr>
          <w:rFonts w:hint="eastAsia" w:ascii="仿宋" w:hAnsi="仿宋" w:eastAsia="仿宋"/>
          <w:sz w:val="32"/>
          <w:szCs w:val="32"/>
          <w:lang w:val="en-US" w:eastAsia="zh-CN"/>
        </w:rPr>
        <w:t>73.4</w:t>
      </w:r>
      <w:r>
        <w:rPr>
          <w:rFonts w:hint="eastAsia" w:ascii="仿宋" w:hAnsi="仿宋" w:eastAsia="仿宋"/>
          <w:sz w:val="32"/>
          <w:szCs w:val="32"/>
        </w:rPr>
        <w:t>万元，并将以此为基础开展后续预算绩效管理工作，努力建立健全以结果为导向的预算绩效管理工作机制。</w:t>
      </w:r>
    </w:p>
    <w:p>
      <w:pPr>
        <w:pStyle w:val="4"/>
        <w:topLinePunct/>
        <w:spacing w:before="0" w:beforeAutospacing="0" w:after="0" w:afterAutospacing="0" w:line="360" w:lineRule="auto"/>
        <w:jc w:val="center"/>
        <w:rPr>
          <w:rFonts w:hint="eastAsia" w:ascii="黑体" w:hAnsi="黑体" w:eastAsia="黑体"/>
          <w:color w:val="000000"/>
          <w:sz w:val="36"/>
          <w:szCs w:val="32"/>
        </w:rPr>
      </w:pPr>
    </w:p>
    <w:p>
      <w:pPr>
        <w:pStyle w:val="4"/>
        <w:topLinePunct/>
        <w:spacing w:before="0" w:beforeAutospacing="0" w:after="0" w:afterAutospacing="0" w:line="360" w:lineRule="auto"/>
        <w:jc w:val="center"/>
        <w:rPr>
          <w:rFonts w:ascii="Calibri" w:hAnsi="Calibri"/>
          <w:color w:val="000000"/>
          <w:sz w:val="22"/>
          <w:szCs w:val="21"/>
        </w:rPr>
      </w:pPr>
      <w:r>
        <w:rPr>
          <w:rFonts w:hint="eastAsia" w:ascii="黑体" w:hAnsi="黑体" w:eastAsia="黑体"/>
          <w:color w:val="000000"/>
          <w:sz w:val="36"/>
          <w:szCs w:val="32"/>
        </w:rPr>
        <w:t>第三部分</w:t>
      </w:r>
    </w:p>
    <w:p>
      <w:pPr>
        <w:pStyle w:val="4"/>
        <w:topLinePunct/>
        <w:spacing w:before="0" w:beforeAutospacing="0" w:after="0" w:afterAutospacing="0" w:line="360" w:lineRule="auto"/>
        <w:jc w:val="center"/>
        <w:rPr>
          <w:rFonts w:ascii="Calibri" w:hAnsi="Calibri"/>
          <w:color w:val="000000"/>
          <w:sz w:val="22"/>
          <w:szCs w:val="21"/>
        </w:rPr>
      </w:pPr>
      <w:r>
        <w:rPr>
          <w:rFonts w:hint="eastAsia" w:ascii="黑体" w:hAnsi="黑体" w:eastAsia="黑体"/>
          <w:color w:val="000000"/>
          <w:sz w:val="36"/>
          <w:szCs w:val="32"/>
        </w:rPr>
        <w:t>名词解释</w:t>
      </w:r>
    </w:p>
    <w:p>
      <w:pPr>
        <w:ind w:firstLine="640" w:firstLineChars="200"/>
        <w:rPr>
          <w:rFonts w:ascii="仿宋" w:hAnsi="仿宋" w:eastAsia="仿宋"/>
          <w:sz w:val="32"/>
          <w:szCs w:val="32"/>
        </w:rPr>
      </w:pPr>
    </w:p>
    <w:p>
      <w:pPr>
        <w:ind w:firstLine="640"/>
        <w:rPr>
          <w:rFonts w:ascii="黑体" w:hAnsi="黑体" w:eastAsia="黑体"/>
          <w:sz w:val="32"/>
          <w:szCs w:val="32"/>
        </w:rPr>
      </w:pPr>
      <w:r>
        <w:rPr>
          <w:rFonts w:hint="eastAsia" w:ascii="黑体" w:hAnsi="黑体" w:eastAsia="黑体"/>
          <w:sz w:val="32"/>
          <w:szCs w:val="32"/>
        </w:rPr>
        <w:t>一、财政拨款收入</w:t>
      </w:r>
    </w:p>
    <w:p>
      <w:pPr>
        <w:ind w:firstLine="640"/>
        <w:rPr>
          <w:rFonts w:ascii="仿宋" w:hAnsi="仿宋" w:eastAsia="仿宋"/>
          <w:sz w:val="32"/>
          <w:szCs w:val="32"/>
        </w:rPr>
      </w:pPr>
      <w:r>
        <w:rPr>
          <w:rFonts w:hint="eastAsia" w:ascii="仿宋" w:hAnsi="仿宋" w:eastAsia="仿宋"/>
          <w:sz w:val="32"/>
          <w:szCs w:val="32"/>
        </w:rPr>
        <w:t>指本级财政当年拨付的资金。</w:t>
      </w:r>
    </w:p>
    <w:p>
      <w:pPr>
        <w:ind w:firstLine="640"/>
        <w:rPr>
          <w:rFonts w:ascii="黑体" w:hAnsi="黑体" w:eastAsia="黑体"/>
          <w:sz w:val="32"/>
          <w:szCs w:val="32"/>
        </w:rPr>
      </w:pPr>
      <w:r>
        <w:rPr>
          <w:rFonts w:hint="eastAsia" w:ascii="黑体" w:hAnsi="黑体" w:eastAsia="黑体"/>
          <w:sz w:val="32"/>
          <w:szCs w:val="32"/>
        </w:rPr>
        <w:t>二、事业收入</w:t>
      </w:r>
    </w:p>
    <w:p>
      <w:pPr>
        <w:ind w:firstLine="640" w:firstLineChars="200"/>
        <w:rPr>
          <w:rFonts w:ascii="仿宋" w:hAnsi="仿宋" w:eastAsia="仿宋"/>
          <w:sz w:val="32"/>
          <w:szCs w:val="32"/>
        </w:rPr>
      </w:pPr>
      <w:r>
        <w:rPr>
          <w:rFonts w:hint="eastAsia" w:ascii="仿宋" w:hAnsi="仿宋" w:eastAsia="仿宋"/>
          <w:sz w:val="32"/>
          <w:szCs w:val="32"/>
        </w:rPr>
        <w:t>指事业单位开展专务活动及辅助所取得的收入。</w:t>
      </w:r>
    </w:p>
    <w:p>
      <w:pPr>
        <w:ind w:firstLine="640"/>
        <w:rPr>
          <w:rFonts w:ascii="黑体" w:hAnsi="黑体" w:eastAsia="黑体"/>
          <w:sz w:val="32"/>
          <w:szCs w:val="32"/>
        </w:rPr>
      </w:pPr>
      <w:r>
        <w:rPr>
          <w:rFonts w:hint="eastAsia" w:ascii="黑体" w:hAnsi="黑体" w:eastAsia="黑体"/>
          <w:sz w:val="32"/>
          <w:szCs w:val="32"/>
        </w:rPr>
        <w:t>三、其他收入</w:t>
      </w:r>
    </w:p>
    <w:p>
      <w:pPr>
        <w:ind w:firstLine="640" w:firstLineChars="200"/>
        <w:rPr>
          <w:rFonts w:ascii="仿宋" w:hAnsi="仿宋" w:eastAsia="仿宋"/>
          <w:sz w:val="32"/>
          <w:szCs w:val="32"/>
        </w:rPr>
      </w:pPr>
      <w:r>
        <w:rPr>
          <w:rFonts w:hint="eastAsia" w:ascii="仿宋" w:hAnsi="仿宋" w:eastAsia="仿宋"/>
          <w:sz w:val="32"/>
          <w:szCs w:val="32"/>
        </w:rPr>
        <w:t>指除“财政拨款”、“事业收入”、“事业单位经营收入”、“附属单位上缴收入”等以外的收入。</w:t>
      </w:r>
    </w:p>
    <w:p>
      <w:pPr>
        <w:ind w:firstLine="640"/>
        <w:rPr>
          <w:rFonts w:ascii="黑体" w:hAnsi="黑体" w:eastAsia="黑体"/>
          <w:sz w:val="32"/>
          <w:szCs w:val="32"/>
        </w:rPr>
      </w:pPr>
      <w:r>
        <w:rPr>
          <w:rFonts w:hint="eastAsia" w:ascii="黑体" w:hAnsi="黑体" w:eastAsia="黑体"/>
          <w:sz w:val="32"/>
          <w:szCs w:val="32"/>
        </w:rPr>
        <w:t>四、基本支出</w:t>
      </w:r>
    </w:p>
    <w:p>
      <w:pPr>
        <w:ind w:firstLine="640" w:firstLineChars="200"/>
        <w:rPr>
          <w:rFonts w:ascii="仿宋" w:hAnsi="仿宋" w:eastAsia="仿宋"/>
          <w:sz w:val="32"/>
          <w:szCs w:val="32"/>
        </w:rPr>
      </w:pPr>
      <w:r>
        <w:rPr>
          <w:rFonts w:hint="eastAsia" w:ascii="仿宋" w:hAnsi="仿宋" w:eastAsia="仿宋"/>
          <w:sz w:val="32"/>
          <w:szCs w:val="32"/>
        </w:rPr>
        <w:t>指为保障机构正常运转、完成日常工作任务所必需的开支，其内容包括人员经费和日常公用经费两部分。</w:t>
      </w:r>
    </w:p>
    <w:p>
      <w:pPr>
        <w:ind w:firstLine="640"/>
        <w:rPr>
          <w:rFonts w:ascii="黑体" w:hAnsi="黑体" w:eastAsia="黑体"/>
          <w:sz w:val="32"/>
          <w:szCs w:val="32"/>
        </w:rPr>
      </w:pPr>
      <w:r>
        <w:rPr>
          <w:rFonts w:hint="eastAsia" w:ascii="黑体" w:hAnsi="黑体" w:eastAsia="黑体"/>
          <w:sz w:val="32"/>
          <w:szCs w:val="32"/>
        </w:rPr>
        <w:t>五、项目支出</w:t>
      </w:r>
    </w:p>
    <w:p>
      <w:pPr>
        <w:ind w:firstLine="640" w:firstLineChars="200"/>
        <w:rPr>
          <w:rFonts w:ascii="仿宋" w:hAnsi="仿宋" w:eastAsia="仿宋"/>
          <w:sz w:val="32"/>
          <w:szCs w:val="32"/>
        </w:rPr>
      </w:pPr>
      <w:r>
        <w:rPr>
          <w:rFonts w:hint="eastAsia" w:ascii="仿宋" w:hAnsi="仿宋" w:eastAsia="仿宋"/>
          <w:sz w:val="32"/>
          <w:szCs w:val="32"/>
        </w:rPr>
        <w:t>指在基本支出之外，为完成特定的行政工作任务或事业发展目标所发生的支出。</w:t>
      </w:r>
    </w:p>
    <w:p>
      <w:pPr>
        <w:ind w:firstLine="640"/>
        <w:rPr>
          <w:rFonts w:ascii="黑体" w:hAnsi="黑体" w:eastAsia="黑体"/>
          <w:sz w:val="32"/>
          <w:szCs w:val="32"/>
        </w:rPr>
      </w:pPr>
      <w:r>
        <w:rPr>
          <w:rFonts w:hint="eastAsia" w:ascii="黑体" w:hAnsi="黑体" w:eastAsia="黑体"/>
          <w:sz w:val="32"/>
          <w:szCs w:val="32"/>
        </w:rPr>
        <w:t>六、机关运行经费</w:t>
      </w:r>
    </w:p>
    <w:p>
      <w:pPr>
        <w:ind w:firstLine="640" w:firstLineChars="200"/>
        <w:rPr>
          <w:rFonts w:ascii="仿宋" w:hAnsi="仿宋" w:eastAsia="仿宋"/>
          <w:sz w:val="32"/>
          <w:szCs w:val="32"/>
        </w:rPr>
      </w:pPr>
      <w:r>
        <w:rPr>
          <w:rFonts w:hint="eastAsia" w:ascii="仿宋" w:hAnsi="仿宋" w:eastAsia="仿宋"/>
          <w:sz w:val="32"/>
          <w:szCs w:val="32"/>
        </w:rPr>
        <w:t>指为保障行政单位（含参照公务员法管理的事业单位）</w:t>
      </w:r>
      <w:r>
        <w:rPr>
          <w:rFonts w:hint="eastAsia" w:ascii="仿宋" w:hAnsi="仿宋" w:eastAsia="仿宋"/>
          <w:sz w:val="32"/>
          <w:szCs w:val="32"/>
          <w:lang w:val="en-US" w:eastAsia="zh-CN"/>
        </w:rPr>
        <w:t>正常</w:t>
      </w:r>
      <w:r>
        <w:rPr>
          <w:rFonts w:hint="eastAsia" w:ascii="仿宋" w:hAnsi="仿宋" w:eastAsia="仿宋"/>
          <w:sz w:val="32"/>
          <w:szCs w:val="32"/>
        </w:rPr>
        <w:t>运</w:t>
      </w:r>
      <w:r>
        <w:rPr>
          <w:rFonts w:hint="eastAsia" w:ascii="仿宋" w:hAnsi="仿宋" w:eastAsia="仿宋"/>
          <w:sz w:val="32"/>
          <w:szCs w:val="32"/>
          <w:lang w:val="en-US" w:eastAsia="zh-CN"/>
        </w:rPr>
        <w:t>转及正常履职需要的支出，</w:t>
      </w:r>
      <w:r>
        <w:rPr>
          <w:rFonts w:hint="eastAsia" w:ascii="仿宋" w:hAnsi="仿宋" w:eastAsia="仿宋"/>
          <w:sz w:val="32"/>
          <w:szCs w:val="32"/>
        </w:rPr>
        <w:t>包括办公</w:t>
      </w:r>
      <w:r>
        <w:rPr>
          <w:rFonts w:hint="eastAsia" w:ascii="仿宋" w:hAnsi="仿宋" w:eastAsia="仿宋"/>
          <w:sz w:val="32"/>
          <w:szCs w:val="32"/>
          <w:lang w:val="en-US" w:eastAsia="zh-CN"/>
        </w:rPr>
        <w:t>费</w:t>
      </w:r>
      <w:r>
        <w:rPr>
          <w:rFonts w:hint="eastAsia" w:ascii="仿宋" w:hAnsi="仿宋" w:eastAsia="仿宋"/>
          <w:sz w:val="32"/>
          <w:szCs w:val="32"/>
          <w:lang w:eastAsia="zh-CN"/>
        </w:rPr>
        <w:t>、</w:t>
      </w:r>
      <w:r>
        <w:rPr>
          <w:rFonts w:hint="eastAsia" w:ascii="仿宋" w:hAnsi="仿宋" w:eastAsia="仿宋"/>
          <w:sz w:val="32"/>
          <w:szCs w:val="32"/>
        </w:rPr>
        <w:t>印刷费、</w:t>
      </w:r>
      <w:r>
        <w:rPr>
          <w:rFonts w:hint="eastAsia" w:ascii="仿宋" w:hAnsi="仿宋" w:eastAsia="仿宋"/>
          <w:sz w:val="32"/>
          <w:szCs w:val="32"/>
          <w:lang w:eastAsia="zh-CN"/>
        </w:rPr>
        <w:t>“</w:t>
      </w:r>
      <w:r>
        <w:rPr>
          <w:rFonts w:hint="eastAsia" w:ascii="仿宋" w:hAnsi="仿宋" w:eastAsia="仿宋"/>
          <w:sz w:val="32"/>
          <w:szCs w:val="32"/>
          <w:lang w:val="en-US" w:eastAsia="zh-CN"/>
        </w:rPr>
        <w:t>三公经费</w:t>
      </w:r>
      <w:r>
        <w:rPr>
          <w:rFonts w:hint="eastAsia" w:ascii="仿宋" w:hAnsi="仿宋" w:eastAsia="仿宋"/>
          <w:sz w:val="32"/>
          <w:szCs w:val="32"/>
          <w:lang w:eastAsia="zh-CN"/>
        </w:rPr>
        <w:t>”</w:t>
      </w:r>
      <w:r>
        <w:rPr>
          <w:rFonts w:hint="eastAsia" w:ascii="仿宋" w:hAnsi="仿宋" w:eastAsia="仿宋"/>
          <w:sz w:val="32"/>
          <w:szCs w:val="32"/>
        </w:rPr>
        <w:t>邮电费、差旅费、会议费、福利费、日常维修费及一般设备购置费、办公用房水电费、办公用房取暖费、办公用房物业管理费、公务用车运行维护费以及其他费用。</w:t>
      </w:r>
    </w:p>
    <w:p>
      <w:pPr>
        <w:ind w:firstLine="640"/>
        <w:rPr>
          <w:rFonts w:ascii="黑体" w:hAnsi="黑体" w:eastAsia="黑体"/>
          <w:sz w:val="32"/>
          <w:szCs w:val="32"/>
        </w:rPr>
      </w:pPr>
      <w:r>
        <w:rPr>
          <w:rFonts w:hint="eastAsia" w:ascii="黑体" w:hAnsi="黑体" w:eastAsia="黑体"/>
          <w:sz w:val="32"/>
          <w:szCs w:val="32"/>
        </w:rPr>
        <w:t>七、“三公”经费</w:t>
      </w:r>
    </w:p>
    <w:p>
      <w:pPr>
        <w:ind w:firstLine="640" w:firstLineChars="200"/>
        <w:rPr>
          <w:rFonts w:hint="eastAsia" w:ascii="仿宋" w:hAnsi="仿宋" w:eastAsia="仿宋"/>
          <w:sz w:val="32"/>
          <w:szCs w:val="32"/>
        </w:rPr>
      </w:pPr>
      <w:r>
        <w:rPr>
          <w:rFonts w:hint="eastAsia" w:ascii="仿宋" w:hAnsi="仿宋" w:eastAsia="仿宋"/>
          <w:sz w:val="32"/>
          <w:szCs w:val="32"/>
        </w:rPr>
        <w:t>指纳入本级财政预决算管理，本级部门使用财政拨款安排的因公出国（境）费、公务用车购置运行费和公务接待费。其中，因公出国（境）费指单位公务出国（境）的住宿费、旅费、伙食补助费、杂费、培训费等支出；公务用车购置运行费指单位公务用车购置费及租用费、燃料费、维修费、过路过桥费、保险费、安全奖励费用等支出；公务接待费指单位按规定开支的各类接待支出。</w:t>
      </w:r>
    </w:p>
    <w:p>
      <w:pPr>
        <w:ind w:firstLine="640" w:firstLineChars="200"/>
        <w:rPr>
          <w:rFonts w:ascii="仿宋" w:hAnsi="仿宋" w:eastAsia="仿宋"/>
          <w:sz w:val="32"/>
          <w:szCs w:val="32"/>
        </w:rPr>
      </w:pPr>
    </w:p>
    <w:p>
      <w:pPr>
        <w:ind w:firstLine="640" w:firstLineChars="200"/>
        <w:rPr>
          <w:rFonts w:ascii="仿宋" w:hAnsi="仿宋" w:eastAsia="仿宋"/>
          <w:sz w:val="32"/>
          <w:szCs w:val="32"/>
        </w:rPr>
      </w:pP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script"/>
    <w:pitch w:val="default"/>
    <w:sig w:usb0="00000000" w:usb1="00000000" w:usb2="00000010" w:usb3="00000000" w:csb0="00040000" w:csb1="00000000"/>
  </w:font>
  <w:font w:name="楷体_GB2312">
    <w:panose1 w:val="02010609030101010101"/>
    <w:charset w:val="86"/>
    <w:family w:val="decorative"/>
    <w:pitch w:val="default"/>
    <w:sig w:usb0="00000001" w:usb1="080E0000" w:usb2="00000000" w:usb3="00000000" w:csb0="00040000" w:csb1="00000000"/>
  </w:font>
  <w:font w:name="仿宋_GB2312">
    <w:panose1 w:val="02010609030101010101"/>
    <w:charset w:val="86"/>
    <w:family w:val="decorative"/>
    <w:pitch w:val="default"/>
    <w:sig w:usb0="00000001" w:usb1="080E0000" w:usb2="00000000" w:usb3="00000000" w:csb0="00040000" w:csb1="00000000"/>
  </w:font>
  <w:font w:name="仿宋">
    <w:panose1 w:val="02010609060101010101"/>
    <w:charset w:val="86"/>
    <w:family w:val="decorative"/>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521D"/>
    <w:rsid w:val="00002196"/>
    <w:rsid w:val="00004A5A"/>
    <w:rsid w:val="000132E8"/>
    <w:rsid w:val="00016BED"/>
    <w:rsid w:val="0002164D"/>
    <w:rsid w:val="00027F80"/>
    <w:rsid w:val="000430FF"/>
    <w:rsid w:val="00061554"/>
    <w:rsid w:val="00072768"/>
    <w:rsid w:val="00073460"/>
    <w:rsid w:val="00073A1C"/>
    <w:rsid w:val="00083F78"/>
    <w:rsid w:val="00084BC7"/>
    <w:rsid w:val="000A120E"/>
    <w:rsid w:val="000A2622"/>
    <w:rsid w:val="000A61C6"/>
    <w:rsid w:val="000B0330"/>
    <w:rsid w:val="000D10F2"/>
    <w:rsid w:val="000E11AD"/>
    <w:rsid w:val="000E2600"/>
    <w:rsid w:val="000F620F"/>
    <w:rsid w:val="0011394B"/>
    <w:rsid w:val="00116512"/>
    <w:rsid w:val="00117E91"/>
    <w:rsid w:val="0012037F"/>
    <w:rsid w:val="00133B0C"/>
    <w:rsid w:val="00160364"/>
    <w:rsid w:val="00172BEB"/>
    <w:rsid w:val="0017321F"/>
    <w:rsid w:val="0017490C"/>
    <w:rsid w:val="00177B2F"/>
    <w:rsid w:val="00196D1B"/>
    <w:rsid w:val="001A363D"/>
    <w:rsid w:val="001A450C"/>
    <w:rsid w:val="001B0630"/>
    <w:rsid w:val="001B43C4"/>
    <w:rsid w:val="001D3173"/>
    <w:rsid w:val="001D7B94"/>
    <w:rsid w:val="001E082A"/>
    <w:rsid w:val="001E2002"/>
    <w:rsid w:val="001E5848"/>
    <w:rsid w:val="001F5C3A"/>
    <w:rsid w:val="001F69E6"/>
    <w:rsid w:val="001F6EA6"/>
    <w:rsid w:val="00204798"/>
    <w:rsid w:val="00213FB6"/>
    <w:rsid w:val="00214722"/>
    <w:rsid w:val="002209A7"/>
    <w:rsid w:val="00220CDC"/>
    <w:rsid w:val="00224A75"/>
    <w:rsid w:val="002310DD"/>
    <w:rsid w:val="0024686B"/>
    <w:rsid w:val="00253EBE"/>
    <w:rsid w:val="00266CFB"/>
    <w:rsid w:val="00272F81"/>
    <w:rsid w:val="00280017"/>
    <w:rsid w:val="00290690"/>
    <w:rsid w:val="0029175A"/>
    <w:rsid w:val="0029197A"/>
    <w:rsid w:val="002B0CFE"/>
    <w:rsid w:val="002B1D96"/>
    <w:rsid w:val="002B3532"/>
    <w:rsid w:val="002D0E65"/>
    <w:rsid w:val="00300F5D"/>
    <w:rsid w:val="0031611D"/>
    <w:rsid w:val="00325FBD"/>
    <w:rsid w:val="00326DBC"/>
    <w:rsid w:val="003318E0"/>
    <w:rsid w:val="00340E1E"/>
    <w:rsid w:val="00343002"/>
    <w:rsid w:val="003452C1"/>
    <w:rsid w:val="00347A9C"/>
    <w:rsid w:val="00347F00"/>
    <w:rsid w:val="003527CA"/>
    <w:rsid w:val="00366ABD"/>
    <w:rsid w:val="00367B86"/>
    <w:rsid w:val="00376143"/>
    <w:rsid w:val="00377591"/>
    <w:rsid w:val="00384FE9"/>
    <w:rsid w:val="00391DCA"/>
    <w:rsid w:val="00395FCD"/>
    <w:rsid w:val="003A1AD8"/>
    <w:rsid w:val="003A4D1C"/>
    <w:rsid w:val="003B03D3"/>
    <w:rsid w:val="003B1B6D"/>
    <w:rsid w:val="003D32F0"/>
    <w:rsid w:val="003D3A49"/>
    <w:rsid w:val="003E34C3"/>
    <w:rsid w:val="003E6713"/>
    <w:rsid w:val="003F0725"/>
    <w:rsid w:val="003F4660"/>
    <w:rsid w:val="00402E18"/>
    <w:rsid w:val="004114C1"/>
    <w:rsid w:val="00412DD4"/>
    <w:rsid w:val="00416C13"/>
    <w:rsid w:val="0042448C"/>
    <w:rsid w:val="00424BFE"/>
    <w:rsid w:val="00433C48"/>
    <w:rsid w:val="00435B90"/>
    <w:rsid w:val="00440925"/>
    <w:rsid w:val="004444A9"/>
    <w:rsid w:val="00456A2A"/>
    <w:rsid w:val="004649B6"/>
    <w:rsid w:val="0047221A"/>
    <w:rsid w:val="00475C58"/>
    <w:rsid w:val="00476651"/>
    <w:rsid w:val="00480E6B"/>
    <w:rsid w:val="00481880"/>
    <w:rsid w:val="00481BF7"/>
    <w:rsid w:val="00484FF3"/>
    <w:rsid w:val="004917F6"/>
    <w:rsid w:val="00497FA5"/>
    <w:rsid w:val="004A5FC7"/>
    <w:rsid w:val="004B62CD"/>
    <w:rsid w:val="004D11E2"/>
    <w:rsid w:val="004D20D7"/>
    <w:rsid w:val="004D73C3"/>
    <w:rsid w:val="004E2EF8"/>
    <w:rsid w:val="004F3F49"/>
    <w:rsid w:val="0051575E"/>
    <w:rsid w:val="0052101E"/>
    <w:rsid w:val="005223E8"/>
    <w:rsid w:val="0052707F"/>
    <w:rsid w:val="00551DD9"/>
    <w:rsid w:val="00553A23"/>
    <w:rsid w:val="005615F1"/>
    <w:rsid w:val="00562A65"/>
    <w:rsid w:val="0056720C"/>
    <w:rsid w:val="00571FE5"/>
    <w:rsid w:val="00591085"/>
    <w:rsid w:val="005938E5"/>
    <w:rsid w:val="00597C5D"/>
    <w:rsid w:val="005A4BCA"/>
    <w:rsid w:val="005B24C5"/>
    <w:rsid w:val="005B3B9A"/>
    <w:rsid w:val="005C1BA0"/>
    <w:rsid w:val="005D10EC"/>
    <w:rsid w:val="005D623D"/>
    <w:rsid w:val="005E0440"/>
    <w:rsid w:val="005E1A4B"/>
    <w:rsid w:val="005E1ABC"/>
    <w:rsid w:val="005E5AAE"/>
    <w:rsid w:val="005F0D3B"/>
    <w:rsid w:val="005F5D72"/>
    <w:rsid w:val="006147C0"/>
    <w:rsid w:val="00617AE7"/>
    <w:rsid w:val="006204DF"/>
    <w:rsid w:val="00635649"/>
    <w:rsid w:val="006421B2"/>
    <w:rsid w:val="00642F39"/>
    <w:rsid w:val="00644DCC"/>
    <w:rsid w:val="0066430F"/>
    <w:rsid w:val="0066771A"/>
    <w:rsid w:val="00684EBF"/>
    <w:rsid w:val="00697DBA"/>
    <w:rsid w:val="006B459A"/>
    <w:rsid w:val="006B473E"/>
    <w:rsid w:val="006B4837"/>
    <w:rsid w:val="006C00B0"/>
    <w:rsid w:val="006C452E"/>
    <w:rsid w:val="006C72AC"/>
    <w:rsid w:val="006D2CC2"/>
    <w:rsid w:val="006D3C5C"/>
    <w:rsid w:val="006E6294"/>
    <w:rsid w:val="006E72AD"/>
    <w:rsid w:val="006F5083"/>
    <w:rsid w:val="00702196"/>
    <w:rsid w:val="007027B6"/>
    <w:rsid w:val="00707582"/>
    <w:rsid w:val="00710DE8"/>
    <w:rsid w:val="0071465B"/>
    <w:rsid w:val="007257DD"/>
    <w:rsid w:val="00732161"/>
    <w:rsid w:val="0073403E"/>
    <w:rsid w:val="00734E78"/>
    <w:rsid w:val="00747E1F"/>
    <w:rsid w:val="00765E2A"/>
    <w:rsid w:val="00782BE8"/>
    <w:rsid w:val="00782CE4"/>
    <w:rsid w:val="007A1AC1"/>
    <w:rsid w:val="007A2989"/>
    <w:rsid w:val="007A5110"/>
    <w:rsid w:val="007A7440"/>
    <w:rsid w:val="007C199D"/>
    <w:rsid w:val="007C2779"/>
    <w:rsid w:val="007D24C5"/>
    <w:rsid w:val="007D3D59"/>
    <w:rsid w:val="007D4319"/>
    <w:rsid w:val="007D611A"/>
    <w:rsid w:val="007E0112"/>
    <w:rsid w:val="007E704C"/>
    <w:rsid w:val="007E7C54"/>
    <w:rsid w:val="007F3130"/>
    <w:rsid w:val="0080427E"/>
    <w:rsid w:val="00804F1B"/>
    <w:rsid w:val="00812D56"/>
    <w:rsid w:val="0081363F"/>
    <w:rsid w:val="008219F5"/>
    <w:rsid w:val="00824FDA"/>
    <w:rsid w:val="00832D8F"/>
    <w:rsid w:val="0083533D"/>
    <w:rsid w:val="00843134"/>
    <w:rsid w:val="008431DE"/>
    <w:rsid w:val="00845FFF"/>
    <w:rsid w:val="00851C33"/>
    <w:rsid w:val="00852187"/>
    <w:rsid w:val="00852DF5"/>
    <w:rsid w:val="0085559B"/>
    <w:rsid w:val="008616AC"/>
    <w:rsid w:val="00862471"/>
    <w:rsid w:val="0086512B"/>
    <w:rsid w:val="00873DD2"/>
    <w:rsid w:val="00874090"/>
    <w:rsid w:val="00875A77"/>
    <w:rsid w:val="00885752"/>
    <w:rsid w:val="00894B44"/>
    <w:rsid w:val="008A4B90"/>
    <w:rsid w:val="008C6505"/>
    <w:rsid w:val="008C7E32"/>
    <w:rsid w:val="008D7A88"/>
    <w:rsid w:val="008F55A5"/>
    <w:rsid w:val="00914F43"/>
    <w:rsid w:val="009222A2"/>
    <w:rsid w:val="0092547C"/>
    <w:rsid w:val="0093502A"/>
    <w:rsid w:val="009426BE"/>
    <w:rsid w:val="00944D35"/>
    <w:rsid w:val="00950804"/>
    <w:rsid w:val="00954459"/>
    <w:rsid w:val="00960055"/>
    <w:rsid w:val="00971B68"/>
    <w:rsid w:val="00972F44"/>
    <w:rsid w:val="009731A3"/>
    <w:rsid w:val="009814D8"/>
    <w:rsid w:val="009830CB"/>
    <w:rsid w:val="00983C15"/>
    <w:rsid w:val="00984AAA"/>
    <w:rsid w:val="00994FAB"/>
    <w:rsid w:val="00996862"/>
    <w:rsid w:val="009A2613"/>
    <w:rsid w:val="009D0889"/>
    <w:rsid w:val="009E5D9B"/>
    <w:rsid w:val="00A01F6A"/>
    <w:rsid w:val="00A221C0"/>
    <w:rsid w:val="00A35377"/>
    <w:rsid w:val="00A37678"/>
    <w:rsid w:val="00A40FF9"/>
    <w:rsid w:val="00A425F2"/>
    <w:rsid w:val="00A53246"/>
    <w:rsid w:val="00A718EC"/>
    <w:rsid w:val="00A71EFF"/>
    <w:rsid w:val="00A73C86"/>
    <w:rsid w:val="00A76FD9"/>
    <w:rsid w:val="00A910BD"/>
    <w:rsid w:val="00AA5FE0"/>
    <w:rsid w:val="00AB0E48"/>
    <w:rsid w:val="00AB37CE"/>
    <w:rsid w:val="00AB6E5A"/>
    <w:rsid w:val="00AC27D5"/>
    <w:rsid w:val="00AF0FB9"/>
    <w:rsid w:val="00B022C0"/>
    <w:rsid w:val="00B05446"/>
    <w:rsid w:val="00B25A37"/>
    <w:rsid w:val="00B26A43"/>
    <w:rsid w:val="00B34B10"/>
    <w:rsid w:val="00B35225"/>
    <w:rsid w:val="00B3716C"/>
    <w:rsid w:val="00B46A15"/>
    <w:rsid w:val="00B46F19"/>
    <w:rsid w:val="00B60A81"/>
    <w:rsid w:val="00B672B5"/>
    <w:rsid w:val="00B70367"/>
    <w:rsid w:val="00B705C6"/>
    <w:rsid w:val="00B71CE3"/>
    <w:rsid w:val="00B863DA"/>
    <w:rsid w:val="00B90E5B"/>
    <w:rsid w:val="00B927E7"/>
    <w:rsid w:val="00BA1B1A"/>
    <w:rsid w:val="00BA36C6"/>
    <w:rsid w:val="00BA5198"/>
    <w:rsid w:val="00BC207F"/>
    <w:rsid w:val="00BD3139"/>
    <w:rsid w:val="00BE1219"/>
    <w:rsid w:val="00BE5DE9"/>
    <w:rsid w:val="00BF5C9F"/>
    <w:rsid w:val="00BF6EBD"/>
    <w:rsid w:val="00C029AF"/>
    <w:rsid w:val="00C0463F"/>
    <w:rsid w:val="00C051A2"/>
    <w:rsid w:val="00C163B1"/>
    <w:rsid w:val="00C22F11"/>
    <w:rsid w:val="00C27784"/>
    <w:rsid w:val="00C36572"/>
    <w:rsid w:val="00C36BDB"/>
    <w:rsid w:val="00C406BC"/>
    <w:rsid w:val="00C416BE"/>
    <w:rsid w:val="00C43369"/>
    <w:rsid w:val="00C562B8"/>
    <w:rsid w:val="00C60328"/>
    <w:rsid w:val="00C76695"/>
    <w:rsid w:val="00C81C8A"/>
    <w:rsid w:val="00C82D88"/>
    <w:rsid w:val="00C929BF"/>
    <w:rsid w:val="00C95075"/>
    <w:rsid w:val="00CA5A8E"/>
    <w:rsid w:val="00CA790B"/>
    <w:rsid w:val="00CB3F5A"/>
    <w:rsid w:val="00CB522C"/>
    <w:rsid w:val="00CC26EC"/>
    <w:rsid w:val="00CD1BAC"/>
    <w:rsid w:val="00CF3A78"/>
    <w:rsid w:val="00CF56A3"/>
    <w:rsid w:val="00D027AD"/>
    <w:rsid w:val="00D10BAC"/>
    <w:rsid w:val="00D1654C"/>
    <w:rsid w:val="00D212CC"/>
    <w:rsid w:val="00D31C86"/>
    <w:rsid w:val="00D31E35"/>
    <w:rsid w:val="00D33090"/>
    <w:rsid w:val="00D3663D"/>
    <w:rsid w:val="00D42712"/>
    <w:rsid w:val="00D4620C"/>
    <w:rsid w:val="00D526B5"/>
    <w:rsid w:val="00D627E3"/>
    <w:rsid w:val="00D63C17"/>
    <w:rsid w:val="00D64296"/>
    <w:rsid w:val="00D75376"/>
    <w:rsid w:val="00D76A95"/>
    <w:rsid w:val="00D92232"/>
    <w:rsid w:val="00DA34FD"/>
    <w:rsid w:val="00DC17BB"/>
    <w:rsid w:val="00DC5066"/>
    <w:rsid w:val="00DE0A3A"/>
    <w:rsid w:val="00DF1D80"/>
    <w:rsid w:val="00DF6259"/>
    <w:rsid w:val="00DF656C"/>
    <w:rsid w:val="00DF7A40"/>
    <w:rsid w:val="00E07DF5"/>
    <w:rsid w:val="00E25D79"/>
    <w:rsid w:val="00E26C3C"/>
    <w:rsid w:val="00E34EC7"/>
    <w:rsid w:val="00E40BD7"/>
    <w:rsid w:val="00E41829"/>
    <w:rsid w:val="00E54A09"/>
    <w:rsid w:val="00E628C1"/>
    <w:rsid w:val="00E772E4"/>
    <w:rsid w:val="00E8327B"/>
    <w:rsid w:val="00E83F8F"/>
    <w:rsid w:val="00E9136C"/>
    <w:rsid w:val="00E92BEC"/>
    <w:rsid w:val="00E933D0"/>
    <w:rsid w:val="00E93DA8"/>
    <w:rsid w:val="00E96C0E"/>
    <w:rsid w:val="00EB2414"/>
    <w:rsid w:val="00EB4212"/>
    <w:rsid w:val="00EC11F0"/>
    <w:rsid w:val="00EC3452"/>
    <w:rsid w:val="00ED6165"/>
    <w:rsid w:val="00ED7573"/>
    <w:rsid w:val="00EE2DC1"/>
    <w:rsid w:val="00EE41CF"/>
    <w:rsid w:val="00EE4D4B"/>
    <w:rsid w:val="00F027A0"/>
    <w:rsid w:val="00F11492"/>
    <w:rsid w:val="00F17169"/>
    <w:rsid w:val="00F204DA"/>
    <w:rsid w:val="00F206CC"/>
    <w:rsid w:val="00F233A7"/>
    <w:rsid w:val="00F24FA1"/>
    <w:rsid w:val="00F33195"/>
    <w:rsid w:val="00F4521D"/>
    <w:rsid w:val="00F87E41"/>
    <w:rsid w:val="00F93ACE"/>
    <w:rsid w:val="00F9584D"/>
    <w:rsid w:val="00F97FD4"/>
    <w:rsid w:val="00FB6183"/>
    <w:rsid w:val="00FC6401"/>
    <w:rsid w:val="00FD7E30"/>
    <w:rsid w:val="00FE715C"/>
    <w:rsid w:val="00FF2323"/>
    <w:rsid w:val="00FF3854"/>
    <w:rsid w:val="01A93CFD"/>
    <w:rsid w:val="07DC35EB"/>
    <w:rsid w:val="0B3F00EF"/>
    <w:rsid w:val="105B0714"/>
    <w:rsid w:val="1BF80D8E"/>
    <w:rsid w:val="202B3863"/>
    <w:rsid w:val="21D74DD8"/>
    <w:rsid w:val="25CB4420"/>
    <w:rsid w:val="2B3B171F"/>
    <w:rsid w:val="2F153414"/>
    <w:rsid w:val="42C05AB7"/>
    <w:rsid w:val="447C68A0"/>
    <w:rsid w:val="4A104575"/>
    <w:rsid w:val="4C5012F6"/>
    <w:rsid w:val="4E6E6AD6"/>
    <w:rsid w:val="58C617D1"/>
    <w:rsid w:val="5BBD0552"/>
    <w:rsid w:val="5E164B76"/>
    <w:rsid w:val="638F6AAF"/>
    <w:rsid w:val="6B320E67"/>
    <w:rsid w:val="6EB62454"/>
    <w:rsid w:val="6FC24548"/>
    <w:rsid w:val="73EE2289"/>
    <w:rsid w:val="79010FE1"/>
    <w:rsid w:val="79835DD4"/>
  </w:rsids>
  <m:mathPr>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footer"/>
    <w:basedOn w:val="1"/>
    <w:link w:val="8"/>
    <w:qFormat/>
    <w:uiPriority w:val="99"/>
    <w:pPr>
      <w:tabs>
        <w:tab w:val="center" w:pos="4153"/>
        <w:tab w:val="right" w:pos="8306"/>
      </w:tabs>
      <w:snapToGrid w:val="0"/>
      <w:jc w:val="left"/>
    </w:pPr>
    <w:rPr>
      <w:kern w:val="0"/>
      <w:sz w:val="18"/>
      <w:szCs w:val="18"/>
    </w:rPr>
  </w:style>
  <w:style w:type="paragraph" w:styleId="3">
    <w:name w:val="header"/>
    <w:basedOn w:val="1"/>
    <w:link w:val="7"/>
    <w:qFormat/>
    <w:uiPriority w:val="99"/>
    <w:pPr>
      <w:pBdr>
        <w:bottom w:val="single" w:color="auto" w:sz="6" w:space="1"/>
      </w:pBdr>
      <w:tabs>
        <w:tab w:val="center" w:pos="4153"/>
        <w:tab w:val="right" w:pos="8306"/>
      </w:tabs>
      <w:snapToGrid w:val="0"/>
      <w:jc w:val="center"/>
    </w:pPr>
    <w:rPr>
      <w:kern w:val="0"/>
      <w:sz w:val="18"/>
      <w:szCs w:val="18"/>
    </w:rPr>
  </w:style>
  <w:style w:type="paragraph" w:styleId="4">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character" w:customStyle="1" w:styleId="7">
    <w:name w:val="页眉 Char"/>
    <w:link w:val="3"/>
    <w:qFormat/>
    <w:locked/>
    <w:uiPriority w:val="99"/>
    <w:rPr>
      <w:rFonts w:cs="Times New Roman"/>
      <w:sz w:val="18"/>
    </w:rPr>
  </w:style>
  <w:style w:type="character" w:customStyle="1" w:styleId="8">
    <w:name w:val="页脚 Char"/>
    <w:link w:val="2"/>
    <w:qFormat/>
    <w:locked/>
    <w:uiPriority w:val="99"/>
    <w:rPr>
      <w:rFonts w:cs="Times New Roman"/>
      <w:sz w:val="18"/>
    </w:rPr>
  </w:style>
  <w:style w:type="paragraph" w:customStyle="1" w:styleId="9">
    <w:name w:val="Default"/>
    <w:qFormat/>
    <w:uiPriority w:val="99"/>
    <w:pPr>
      <w:widowControl w:val="0"/>
      <w:autoSpaceDE w:val="0"/>
      <w:autoSpaceDN w:val="0"/>
      <w:adjustRightInd w:val="0"/>
    </w:pPr>
    <w:rPr>
      <w:rFonts w:ascii="黑体" w:hAnsi="黑体" w:eastAsia="宋体" w:cs="黑体"/>
      <w:color w:val="000000"/>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7F2F97-46C1-4E99-A879-B346C88DF5E7}">
  <ds:schemaRefs/>
</ds:datastoreItem>
</file>

<file path=docProps/app.xml><?xml version="1.0" encoding="utf-8"?>
<Properties xmlns="http://schemas.openxmlformats.org/officeDocument/2006/extended-properties" xmlns:vt="http://schemas.openxmlformats.org/officeDocument/2006/docPropsVTypes">
  <Template>Normal</Template>
  <Pages>10</Pages>
  <Words>518</Words>
  <Characters>2954</Characters>
  <Lines>24</Lines>
  <Paragraphs>6</Paragraphs>
  <TotalTime>0</TotalTime>
  <ScaleCrop>false</ScaleCrop>
  <LinksUpToDate>false</LinksUpToDate>
  <CharactersWithSpaces>3466</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2017-10-31T03:18:00Z</dcterms:created>
  <dc:creator>lenovo</dc:creator>
  <cp:lastModifiedBy>lenovo</cp:lastModifiedBy>
  <cp:lastPrinted>2020-06-19T02:58:00Z</cp:lastPrinted>
  <dcterms:modified xsi:type="dcterms:W3CDTF">2020-12-14T08:34:15Z</dcterms:modified>
  <dc:title>濮阳市华龙区XXX局</dc:title>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