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方正小标宋_GBK" w:eastAsia="方正小标宋_GBK"/>
          <w:sz w:val="40"/>
        </w:rPr>
      </w:pPr>
    </w:p>
    <w:p>
      <w:pPr>
        <w:rPr>
          <w:rFonts w:hint="eastAsia" w:ascii="方正小标宋_GBK" w:eastAsia="方正小标宋_GBK"/>
          <w:sz w:val="40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w w:val="85"/>
          <w:sz w:val="5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w w:val="85"/>
          <w:sz w:val="56"/>
        </w:rPr>
        <w:t>中共濮阳市华龙区委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w w:val="85"/>
          <w:sz w:val="56"/>
          <w:lang w:val="en-US" w:eastAsia="zh-CN"/>
        </w:rPr>
        <w:t>营商环境建设委员会办公室（督查局）</w:t>
      </w:r>
    </w:p>
    <w:p>
      <w:pPr>
        <w:ind w:firstLine="1428" w:firstLineChars="300"/>
        <w:jc w:val="both"/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w w:val="85"/>
          <w:sz w:val="5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w w:val="85"/>
          <w:sz w:val="56"/>
        </w:rPr>
        <w:t>2020年部门预算公开说明</w:t>
      </w:r>
    </w:p>
    <w:p>
      <w:pPr>
        <w:jc w:val="center"/>
        <w:rPr>
          <w:rFonts w:ascii="方正小标宋_GBK" w:eastAsia="方正小标宋_GBK"/>
          <w:sz w:val="40"/>
        </w:rPr>
      </w:pPr>
    </w:p>
    <w:p>
      <w:pPr>
        <w:jc w:val="center"/>
        <w:rPr>
          <w:rFonts w:hint="eastAsia" w:ascii="方正小标宋_GBK" w:eastAsia="方正小标宋_GBK"/>
          <w:sz w:val="40"/>
        </w:rPr>
      </w:pPr>
    </w:p>
    <w:p>
      <w:pPr>
        <w:jc w:val="center"/>
        <w:rPr>
          <w:rFonts w:ascii="方正小标宋_GBK" w:eastAsia="方正小标宋_GBK"/>
          <w:sz w:val="40"/>
        </w:rPr>
      </w:pPr>
    </w:p>
    <w:p>
      <w:pPr>
        <w:jc w:val="center"/>
        <w:rPr>
          <w:rFonts w:ascii="方正小标宋_GBK" w:eastAsia="方正小标宋_GBK"/>
          <w:sz w:val="40"/>
        </w:rPr>
      </w:pPr>
    </w:p>
    <w:p>
      <w:pPr>
        <w:jc w:val="center"/>
        <w:rPr>
          <w:rFonts w:ascii="方正小标宋_GBK" w:eastAsia="方正小标宋_GBK"/>
          <w:sz w:val="40"/>
        </w:rPr>
      </w:pPr>
    </w:p>
    <w:p>
      <w:pPr>
        <w:jc w:val="center"/>
        <w:rPr>
          <w:rFonts w:ascii="方正小标宋_GBK" w:eastAsia="方正小标宋_GBK"/>
          <w:sz w:val="40"/>
        </w:rPr>
      </w:pPr>
    </w:p>
    <w:p>
      <w:pPr>
        <w:jc w:val="center"/>
        <w:rPr>
          <w:rFonts w:ascii="方正小标宋_GBK" w:eastAsia="方正小标宋_GBK"/>
          <w:sz w:val="40"/>
        </w:rPr>
      </w:pPr>
    </w:p>
    <w:p>
      <w:pPr>
        <w:jc w:val="center"/>
        <w:rPr>
          <w:rFonts w:ascii="方正小标宋_GBK" w:eastAsia="方正小标宋_GBK"/>
          <w:sz w:val="40"/>
        </w:rPr>
      </w:pPr>
    </w:p>
    <w:p>
      <w:pPr>
        <w:jc w:val="center"/>
        <w:rPr>
          <w:rFonts w:ascii="方正小标宋_GBK" w:eastAsia="方正小标宋_GBK"/>
          <w:sz w:val="40"/>
        </w:rPr>
      </w:pPr>
    </w:p>
    <w:p>
      <w:pPr>
        <w:jc w:val="center"/>
        <w:rPr>
          <w:rFonts w:ascii="方正小标宋_GBK" w:eastAsia="方正小标宋_GBK"/>
          <w:sz w:val="40"/>
        </w:rPr>
      </w:pPr>
    </w:p>
    <w:p>
      <w:pPr>
        <w:jc w:val="center"/>
        <w:rPr>
          <w:rFonts w:ascii="方正小标宋_GBK" w:eastAsia="方正小标宋_GBK"/>
          <w:sz w:val="40"/>
        </w:rPr>
      </w:pPr>
    </w:p>
    <w:p>
      <w:pPr>
        <w:jc w:val="both"/>
        <w:rPr>
          <w:rFonts w:ascii="方正小标宋_GBK" w:eastAsia="方正小标宋_GBK"/>
          <w:sz w:val="40"/>
        </w:rPr>
      </w:pPr>
    </w:p>
    <w:p>
      <w:pPr>
        <w:jc w:val="center"/>
        <w:rPr>
          <w:rFonts w:ascii="楷体_GB2312" w:eastAsia="楷体_GB2312"/>
          <w:b/>
          <w:w w:val="90"/>
          <w:sz w:val="40"/>
        </w:rPr>
      </w:pPr>
      <w:r>
        <w:rPr>
          <w:rFonts w:hint="eastAsia" w:ascii="楷体_GB2312" w:eastAsia="楷体_GB2312"/>
          <w:b/>
          <w:w w:val="90"/>
          <w:sz w:val="40"/>
        </w:rPr>
        <w:t>二</w:t>
      </w:r>
      <w:r>
        <w:rPr>
          <w:rFonts w:hint="eastAsia" w:ascii="宋体" w:hAnsi="宋体" w:cs="宋体"/>
          <w:b/>
          <w:w w:val="90"/>
          <w:sz w:val="40"/>
        </w:rPr>
        <w:t>〇</w:t>
      </w:r>
      <w:r>
        <w:rPr>
          <w:rFonts w:hint="eastAsia" w:ascii="楷体_GB2312" w:eastAsia="楷体_GB2312"/>
          <w:b/>
          <w:w w:val="90"/>
          <w:sz w:val="40"/>
        </w:rPr>
        <w:t>二</w:t>
      </w:r>
      <w:r>
        <w:rPr>
          <w:rFonts w:hint="eastAsia" w:ascii="宋体" w:hAnsi="宋体" w:cs="宋体"/>
          <w:b/>
          <w:w w:val="90"/>
          <w:sz w:val="40"/>
        </w:rPr>
        <w:t>〇</w:t>
      </w:r>
      <w:r>
        <w:rPr>
          <w:rFonts w:hint="eastAsia" w:ascii="楷体_GB2312" w:hAnsi="楷体_GB2312" w:eastAsia="楷体_GB2312" w:cs="楷体_GB2312"/>
          <w:b/>
          <w:w w:val="90"/>
          <w:sz w:val="40"/>
        </w:rPr>
        <w:t>年六月</w:t>
      </w:r>
    </w:p>
    <w:p>
      <w:pPr>
        <w:widowControl/>
        <w:jc w:val="left"/>
        <w:rPr>
          <w:rFonts w:ascii="黑体" w:hAnsi="黑体" w:eastAsia="黑体" w:cs="宋体"/>
          <w:color w:val="000000"/>
          <w:kern w:val="0"/>
          <w:sz w:val="44"/>
          <w:szCs w:val="32"/>
        </w:rPr>
      </w:pPr>
      <w:r>
        <w:rPr>
          <w:rFonts w:ascii="黑体" w:hAnsi="黑体" w:eastAsia="黑体"/>
          <w:color w:val="000000"/>
          <w:sz w:val="44"/>
          <w:szCs w:val="32"/>
        </w:rPr>
        <w:br w:type="page"/>
      </w:r>
    </w:p>
    <w:p>
      <w:pPr>
        <w:pStyle w:val="6"/>
        <w:topLinePunct/>
        <w:spacing w:before="0" w:beforeAutospacing="0" w:after="0" w:afterAutospacing="0" w:line="360" w:lineRule="auto"/>
        <w:ind w:firstLine="880"/>
        <w:jc w:val="center"/>
        <w:rPr>
          <w:rFonts w:ascii="黑体" w:hAnsi="黑体" w:eastAsia="黑体"/>
          <w:color w:val="000000"/>
          <w:sz w:val="44"/>
          <w:szCs w:val="32"/>
        </w:rPr>
      </w:pPr>
    </w:p>
    <w:p>
      <w:pPr>
        <w:pStyle w:val="6"/>
        <w:topLinePunct/>
        <w:spacing w:before="0" w:beforeAutospacing="0" w:after="0" w:afterAutospacing="0" w:line="360" w:lineRule="auto"/>
        <w:jc w:val="center"/>
        <w:rPr>
          <w:rFonts w:ascii="黑体" w:hAnsi="黑体" w:eastAsia="黑体"/>
          <w:color w:val="000000"/>
          <w:sz w:val="44"/>
          <w:szCs w:val="32"/>
        </w:rPr>
      </w:pPr>
      <w:r>
        <w:rPr>
          <w:rFonts w:hint="eastAsia" w:ascii="黑体" w:hAnsi="黑体" w:eastAsia="黑体"/>
          <w:color w:val="000000"/>
          <w:sz w:val="44"/>
          <w:szCs w:val="32"/>
        </w:rPr>
        <w:t>目 录</w:t>
      </w:r>
    </w:p>
    <w:p>
      <w:pPr>
        <w:pStyle w:val="6"/>
        <w:topLinePunct/>
        <w:spacing w:before="0" w:beforeAutospacing="0" w:after="0" w:afterAutospacing="0" w:line="360" w:lineRule="auto"/>
        <w:ind w:firstLine="720"/>
        <w:jc w:val="center"/>
        <w:rPr>
          <w:rFonts w:ascii="黑体" w:hAnsi="黑体" w:eastAsia="黑体"/>
          <w:color w:val="000000"/>
          <w:sz w:val="36"/>
          <w:szCs w:val="32"/>
        </w:rPr>
      </w:pP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  <w:jc w:val="both"/>
        <w:rPr>
          <w:color w:val="000000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第一部分</w:t>
      </w:r>
      <w:r>
        <w:rPr>
          <w:rFonts w:hint="eastAsia"/>
          <w:color w:val="000000"/>
          <w:sz w:val="32"/>
          <w:szCs w:val="32"/>
        </w:rPr>
        <w:t xml:space="preserve"> </w:t>
      </w:r>
      <w:r>
        <w:rPr>
          <w:rFonts w:hint="eastAsia" w:ascii="黑体" w:hAnsi="黑体" w:eastAsia="黑体"/>
          <w:color w:val="000000"/>
          <w:sz w:val="32"/>
          <w:szCs w:val="32"/>
        </w:rPr>
        <w:t>部门概况</w:t>
      </w:r>
      <w:r>
        <w:rPr>
          <w:rFonts w:hint="eastAsia"/>
          <w:color w:val="000000"/>
          <w:sz w:val="32"/>
          <w:szCs w:val="32"/>
        </w:rPr>
        <w:t> </w:t>
      </w: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  <w:rPr>
          <w:color w:val="000000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一、部门主要职责</w:t>
      </w: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  <w:rPr>
          <w:color w:val="000000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二、机构设置情况</w:t>
      </w: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  <w:jc w:val="both"/>
        <w:rPr>
          <w:rFonts w:ascii="黑体" w:hAnsi="黑体" w:eastAsia="黑体"/>
          <w:color w:val="000000"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第二部分 2020年部门预算情况说明</w:t>
      </w: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  <w:jc w:val="both"/>
        <w:rPr>
          <w:rFonts w:ascii="黑体" w:hAnsi="黑体" w:eastAsia="黑体"/>
          <w:color w:val="000000"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第三部分 名词解释</w:t>
      </w: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  <w:jc w:val="both"/>
        <w:rPr>
          <w:rFonts w:ascii="黑体" w:hAnsi="黑体" w:eastAsia="黑体"/>
          <w:color w:val="000000"/>
          <w:sz w:val="32"/>
          <w:szCs w:val="32"/>
        </w:rPr>
      </w:pPr>
    </w:p>
    <w:p>
      <w:pPr>
        <w:pStyle w:val="6"/>
        <w:overflowPunct w:val="0"/>
        <w:topLinePunct/>
        <w:spacing w:before="0" w:beforeAutospacing="0" w:after="0" w:afterAutospacing="0" w:line="360" w:lineRule="auto"/>
        <w:ind w:left="1600" w:leftChars="200" w:hanging="960" w:hangingChars="300"/>
        <w:jc w:val="both"/>
        <w:rPr>
          <w:color w:val="000000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附件：中共濮阳市华龙区委营商环境建设委员会办公室（督查局）2020年部门预算表</w:t>
      </w: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  <w:rPr>
          <w:color w:val="000000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一、部门收支总表</w:t>
      </w: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  <w:rPr>
          <w:color w:val="000000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二、部门收入总表</w:t>
      </w: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  <w:rPr>
          <w:color w:val="000000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三、部门支出总表</w:t>
      </w: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  <w:rPr>
          <w:color w:val="000000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四、财政拨款收支总表</w:t>
      </w: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  <w:rPr>
          <w:color w:val="000000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五、一般公共预算支出表</w:t>
      </w: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  <w:rPr>
          <w:color w:val="000000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六、一般公共预算基本支出表</w:t>
      </w: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  <w:rPr>
          <w:color w:val="000000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七、一般公共预算“三公”经费支出表</w:t>
      </w: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  <w:rPr>
          <w:color w:val="000000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八、政府性基金预算支出表</w:t>
      </w:r>
    </w:p>
    <w:p>
      <w:pPr>
        <w:ind w:firstLine="640" w:firstLineChars="200"/>
        <w:rPr>
          <w:rFonts w:ascii="黑体" w:hAnsi="黑体" w:eastAsia="黑体"/>
          <w:szCs w:val="32"/>
        </w:rPr>
      </w:pPr>
    </w:p>
    <w:p>
      <w:pPr>
        <w:rPr>
          <w:rFonts w:ascii="黑体" w:hAnsi="黑体" w:eastAsia="黑体"/>
          <w:szCs w:val="32"/>
        </w:rPr>
      </w:pPr>
      <w:r>
        <w:rPr>
          <w:rFonts w:ascii="黑体" w:hAnsi="黑体" w:eastAsia="黑体"/>
          <w:szCs w:val="32"/>
        </w:rPr>
        <w:br w:type="page"/>
      </w:r>
    </w:p>
    <w:p>
      <w:pPr>
        <w:ind w:firstLine="640" w:firstLineChars="200"/>
        <w:rPr>
          <w:rFonts w:ascii="黑体" w:hAnsi="黑体" w:eastAsia="黑体"/>
          <w:szCs w:val="32"/>
        </w:rPr>
      </w:pPr>
    </w:p>
    <w:p>
      <w:pPr>
        <w:pStyle w:val="6"/>
        <w:topLinePunct/>
        <w:spacing w:before="0" w:beforeAutospacing="0" w:after="0" w:afterAutospacing="0" w:line="360" w:lineRule="auto"/>
        <w:jc w:val="center"/>
        <w:rPr>
          <w:rFonts w:ascii="Calibri" w:hAnsi="Calibri"/>
          <w:color w:val="000000"/>
          <w:sz w:val="22"/>
          <w:szCs w:val="21"/>
        </w:rPr>
      </w:pPr>
      <w:r>
        <w:rPr>
          <w:rFonts w:hint="eastAsia" w:ascii="黑体" w:hAnsi="黑体" w:eastAsia="黑体"/>
          <w:color w:val="000000"/>
          <w:sz w:val="36"/>
          <w:szCs w:val="32"/>
        </w:rPr>
        <w:t>第一部分</w:t>
      </w:r>
    </w:p>
    <w:p>
      <w:pPr>
        <w:pStyle w:val="6"/>
        <w:topLinePunct/>
        <w:spacing w:before="0" w:beforeAutospacing="0" w:after="0" w:afterAutospacing="0" w:line="360" w:lineRule="auto"/>
        <w:jc w:val="center"/>
        <w:rPr>
          <w:rFonts w:ascii="Calibri" w:hAnsi="Calibri"/>
          <w:color w:val="000000"/>
          <w:sz w:val="22"/>
          <w:szCs w:val="21"/>
        </w:rPr>
      </w:pPr>
      <w:r>
        <w:rPr>
          <w:rFonts w:hint="eastAsia" w:ascii="黑体" w:hAnsi="黑体" w:eastAsia="黑体"/>
          <w:color w:val="000000"/>
          <w:sz w:val="36"/>
          <w:szCs w:val="32"/>
        </w:rPr>
        <w:t>部门概况</w:t>
      </w:r>
    </w:p>
    <w:p>
      <w:pPr>
        <w:ind w:firstLine="640" w:firstLineChars="200"/>
        <w:rPr>
          <w:rFonts w:ascii="黑体" w:hAnsi="黑体" w:eastAsia="黑体"/>
          <w:szCs w:val="32"/>
        </w:rPr>
      </w:pPr>
      <w:r>
        <w:rPr>
          <w:rFonts w:ascii="黑体" w:hAnsi="黑体" w:eastAsia="黑体"/>
          <w:szCs w:val="32"/>
        </w:rPr>
        <w:t> </w:t>
      </w:r>
    </w:p>
    <w:p>
      <w:pPr>
        <w:ind w:firstLine="640" w:firstLineChars="20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一、部门主要职责</w:t>
      </w:r>
    </w:p>
    <w:p>
      <w:pPr>
        <w:widowControl/>
        <w:ind w:firstLine="640" w:firstLineChars="200"/>
        <w:jc w:val="both"/>
        <w:rPr>
          <w:rFonts w:hint="eastAsia" w:hAnsi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</w:t>
      </w:r>
      <w:r>
        <w:rPr>
          <w:rFonts w:hint="eastAsia" w:hAnsi="仿宋_GB2312" w:cs="仿宋_GB2312"/>
          <w:sz w:val="32"/>
          <w:szCs w:val="32"/>
          <w:lang w:val="en-US" w:eastAsia="zh-CN"/>
        </w:rPr>
        <w:t>负责督促推动市、区优化营商环境政策的贯彻落实。</w:t>
      </w:r>
    </w:p>
    <w:p>
      <w:pPr>
        <w:widowControl/>
        <w:ind w:firstLine="640" w:firstLineChars="200"/>
        <w:jc w:val="both"/>
        <w:rPr>
          <w:rFonts w:hint="eastAsia" w:hAnsi="仿宋_GB2312" w:cs="仿宋_GB2312"/>
          <w:sz w:val="32"/>
          <w:szCs w:val="32"/>
          <w:lang w:val="en-US" w:eastAsia="zh-CN"/>
        </w:rPr>
      </w:pPr>
      <w:r>
        <w:rPr>
          <w:rFonts w:hint="eastAsia" w:hAnsi="仿宋_GB2312" w:cs="仿宋_GB2312"/>
          <w:sz w:val="32"/>
          <w:szCs w:val="32"/>
          <w:lang w:val="en-US" w:eastAsia="zh-CN"/>
        </w:rPr>
        <w:t>2.对标国家、省、市标准，建立营商环境评价指标体系和激励约束机制，对各部门营商环境建设工作开展评价考核。</w:t>
      </w:r>
    </w:p>
    <w:p>
      <w:pPr>
        <w:widowControl/>
        <w:ind w:firstLine="640" w:firstLineChars="200"/>
        <w:jc w:val="both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hAnsi="仿宋_GB2312" w:cs="仿宋_GB2312"/>
          <w:sz w:val="32"/>
          <w:szCs w:val="32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sz w:val="32"/>
          <w:szCs w:val="32"/>
        </w:rPr>
        <w:t>负责市委、市政府交办我区落实事项及区委、区政府重大决策、重要工作部署和其它涉及全区中心工作的督促检查。</w:t>
      </w:r>
    </w:p>
    <w:p>
      <w:pPr>
        <w:widowControl/>
        <w:ind w:firstLine="640" w:firstLineChars="200"/>
        <w:jc w:val="both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hAnsi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.负责上级党委、政府和区委、区政府主要领导讲话精神和批示指示事项的督促查办。</w:t>
      </w:r>
    </w:p>
    <w:p>
      <w:pPr>
        <w:widowControl/>
        <w:ind w:left="640"/>
        <w:jc w:val="both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hAnsi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.负责区委、区政府综合台账管理工作。</w:t>
      </w:r>
    </w:p>
    <w:p>
      <w:pPr>
        <w:widowControl/>
        <w:ind w:left="640"/>
        <w:jc w:val="both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hAnsi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.负责区委、区政府目标管理和综合考评工作。</w:t>
      </w:r>
    </w:p>
    <w:p>
      <w:pPr>
        <w:widowControl/>
        <w:ind w:left="640"/>
        <w:jc w:val="both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hAnsi="仿宋_GB2312" w:cs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sz w:val="32"/>
          <w:szCs w:val="32"/>
        </w:rPr>
        <w:t>.负责人民网网民留言办理工作。</w:t>
      </w:r>
    </w:p>
    <w:p>
      <w:pPr>
        <w:widowControl/>
        <w:ind w:left="640"/>
        <w:jc w:val="both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hAnsi="仿宋_GB2312" w:cs="仿宋_GB2312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z w:val="32"/>
          <w:szCs w:val="32"/>
        </w:rPr>
        <w:t>.负责人大议案建议和政协提案办理的督促落实。</w:t>
      </w:r>
    </w:p>
    <w:p>
      <w:pPr>
        <w:widowControl/>
        <w:ind w:left="640"/>
        <w:jc w:val="both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hAnsi="仿宋_GB2312" w:cs="仿宋_GB2312"/>
          <w:sz w:val="3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sz w:val="32"/>
          <w:szCs w:val="32"/>
        </w:rPr>
        <w:t>.负责全区督查队伍的管理和督查工作的指导协调。</w:t>
      </w:r>
    </w:p>
    <w:p>
      <w:pPr>
        <w:widowControl/>
        <w:ind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hAnsi="仿宋_GB2312" w:cs="仿宋_GB2312"/>
          <w:sz w:val="32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sz w:val="32"/>
          <w:szCs w:val="32"/>
        </w:rPr>
        <w:t>.负责区委、区政府</w:t>
      </w:r>
      <w:r>
        <w:rPr>
          <w:rFonts w:hint="eastAsia" w:hAnsi="仿宋_GB2312" w:cs="仿宋_GB2312"/>
          <w:sz w:val="32"/>
          <w:szCs w:val="32"/>
          <w:lang w:val="en-US" w:eastAsia="zh-CN"/>
        </w:rPr>
        <w:t>和区委营商环境建设委员会</w:t>
      </w:r>
      <w:r>
        <w:rPr>
          <w:rFonts w:hint="eastAsia" w:ascii="仿宋_GB2312" w:hAnsi="仿宋_GB2312" w:eastAsia="仿宋_GB2312" w:cs="仿宋_GB2312"/>
          <w:sz w:val="32"/>
          <w:szCs w:val="32"/>
        </w:rPr>
        <w:t>交办的其他工作任务。</w:t>
      </w:r>
    </w:p>
    <w:p>
      <w:pPr>
        <w:widowControl/>
        <w:ind w:firstLine="640" w:firstLineChars="200"/>
        <w:jc w:val="left"/>
        <w:rPr>
          <w:rFonts w:hint="eastAsia" w:hAnsi="仿宋_GB2312" w:cs="仿宋_GB2312"/>
          <w:sz w:val="32"/>
          <w:szCs w:val="32"/>
          <w:lang w:val="en-US" w:eastAsia="zh-CN"/>
        </w:rPr>
      </w:pPr>
    </w:p>
    <w:p>
      <w:pPr>
        <w:ind w:firstLine="640" w:firstLineChars="20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二、机构设置情况</w:t>
      </w:r>
    </w:p>
    <w:p>
      <w:pPr>
        <w:ind w:firstLine="640" w:firstLineChars="200"/>
        <w:jc w:val="left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根据工作职责及实际工作需要，中共濮阳市华龙区委营商环境建设委员会办公室（督查局）内设</w:t>
      </w:r>
      <w:r>
        <w:rPr>
          <w:rFonts w:hint="eastAsia" w:ascii="仿宋" w:hAnsi="仿宋" w:eastAsia="仿宋"/>
          <w:szCs w:val="32"/>
          <w:lang w:val="en-US" w:eastAsia="zh-CN"/>
        </w:rPr>
        <w:t>办公室、督查一室、督查二室、督查三室、督查四室、绩效考评室、专项查办室、规划指导室8</w:t>
      </w:r>
      <w:r>
        <w:rPr>
          <w:rFonts w:hint="eastAsia" w:ascii="仿宋" w:hAnsi="仿宋" w:eastAsia="仿宋"/>
          <w:szCs w:val="32"/>
        </w:rPr>
        <w:t>个机构，本部门无独立核算的下属预算单位，部门本级预算即汇总预算。</w:t>
      </w:r>
    </w:p>
    <w:p>
      <w:pPr>
        <w:ind w:firstLine="640" w:firstLineChars="200"/>
        <w:rPr>
          <w:rFonts w:ascii="仿宋" w:hAnsi="仿宋" w:eastAsia="仿宋"/>
          <w:szCs w:val="32"/>
        </w:rPr>
      </w:pPr>
    </w:p>
    <w:p>
      <w:pPr>
        <w:ind w:firstLine="640" w:firstLineChars="200"/>
        <w:rPr>
          <w:rFonts w:ascii="黑体" w:hAnsi="黑体" w:eastAsia="黑体"/>
          <w:szCs w:val="32"/>
        </w:rPr>
      </w:pPr>
    </w:p>
    <w:p>
      <w:pPr>
        <w:pStyle w:val="6"/>
        <w:topLinePunct/>
        <w:spacing w:before="0" w:beforeAutospacing="0" w:after="0" w:afterAutospacing="0" w:line="360" w:lineRule="auto"/>
        <w:jc w:val="center"/>
        <w:rPr>
          <w:rFonts w:ascii="Calibri" w:hAnsi="Calibri"/>
          <w:color w:val="000000"/>
          <w:sz w:val="22"/>
          <w:szCs w:val="21"/>
        </w:rPr>
      </w:pPr>
      <w:r>
        <w:rPr>
          <w:rFonts w:hint="eastAsia" w:ascii="黑体" w:hAnsi="黑体" w:eastAsia="黑体"/>
          <w:color w:val="000000"/>
          <w:sz w:val="36"/>
          <w:szCs w:val="32"/>
        </w:rPr>
        <w:t>第二部分</w:t>
      </w:r>
    </w:p>
    <w:p>
      <w:pPr>
        <w:pStyle w:val="6"/>
        <w:topLinePunct/>
        <w:spacing w:before="0" w:beforeAutospacing="0" w:after="0" w:afterAutospacing="0" w:line="360" w:lineRule="auto"/>
        <w:jc w:val="center"/>
        <w:rPr>
          <w:rFonts w:ascii="Calibri" w:hAnsi="Calibri"/>
          <w:color w:val="000000"/>
          <w:sz w:val="22"/>
          <w:szCs w:val="21"/>
        </w:rPr>
      </w:pPr>
      <w:r>
        <w:rPr>
          <w:rFonts w:hint="eastAsia" w:ascii="黑体" w:hAnsi="黑体" w:eastAsia="黑体"/>
          <w:color w:val="000000"/>
          <w:sz w:val="36"/>
          <w:szCs w:val="32"/>
        </w:rPr>
        <w:t>2020年部门预算情况说明</w:t>
      </w:r>
    </w:p>
    <w:p>
      <w:pPr>
        <w:ind w:firstLine="640" w:firstLineChars="200"/>
        <w:rPr>
          <w:rFonts w:ascii="华文仿宋" w:hAnsi="华文仿宋" w:eastAsia="华文仿宋"/>
          <w:szCs w:val="32"/>
        </w:rPr>
      </w:pPr>
    </w:p>
    <w:p>
      <w:pPr>
        <w:ind w:firstLine="640" w:firstLineChars="20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一、本级预算和所属单位预算在内的汇总预算总体情况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本部门无独立核算的下属预算单位，部门本级预算即汇总预算。</w:t>
      </w:r>
      <w:r>
        <w:rPr>
          <w:rFonts w:ascii="仿宋" w:hAnsi="仿宋" w:eastAsia="仿宋"/>
          <w:szCs w:val="32"/>
        </w:rPr>
        <w:t>20</w:t>
      </w:r>
      <w:r>
        <w:rPr>
          <w:rFonts w:hint="eastAsia" w:ascii="仿宋" w:hAnsi="仿宋" w:eastAsia="仿宋"/>
          <w:szCs w:val="32"/>
        </w:rPr>
        <w:t>20年本部门预算收入总计</w:t>
      </w:r>
      <w:r>
        <w:rPr>
          <w:rFonts w:hint="eastAsia" w:ascii="仿宋" w:hAnsi="仿宋" w:eastAsia="仿宋"/>
          <w:szCs w:val="32"/>
          <w:lang w:val="en-US" w:eastAsia="zh-CN"/>
        </w:rPr>
        <w:t>211.59</w:t>
      </w:r>
      <w:r>
        <w:rPr>
          <w:rFonts w:hint="eastAsia" w:ascii="仿宋" w:hAnsi="仿宋" w:eastAsia="仿宋"/>
          <w:szCs w:val="32"/>
        </w:rPr>
        <w:t>万元，支出总计</w:t>
      </w:r>
      <w:r>
        <w:rPr>
          <w:rFonts w:hint="eastAsia" w:ascii="仿宋" w:hAnsi="仿宋" w:eastAsia="仿宋"/>
          <w:szCs w:val="32"/>
          <w:lang w:val="en-US" w:eastAsia="zh-CN"/>
        </w:rPr>
        <w:t>211.59</w:t>
      </w:r>
      <w:r>
        <w:rPr>
          <w:rFonts w:hint="eastAsia" w:ascii="仿宋" w:hAnsi="仿宋" w:eastAsia="仿宋"/>
          <w:szCs w:val="32"/>
        </w:rPr>
        <w:t>万元。</w:t>
      </w:r>
    </w:p>
    <w:p>
      <w:pPr>
        <w:ind w:firstLine="640" w:firstLineChars="20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二、部门预算收支增减变动情况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ascii="仿宋" w:hAnsi="仿宋" w:eastAsia="仿宋"/>
          <w:szCs w:val="32"/>
        </w:rPr>
        <w:t>20</w:t>
      </w:r>
      <w:r>
        <w:rPr>
          <w:rFonts w:hint="eastAsia" w:ascii="仿宋" w:hAnsi="仿宋" w:eastAsia="仿宋"/>
          <w:szCs w:val="32"/>
        </w:rPr>
        <w:t>20年本部门预算收入总计</w:t>
      </w:r>
      <w:r>
        <w:rPr>
          <w:rFonts w:hint="eastAsia" w:ascii="仿宋" w:hAnsi="仿宋" w:eastAsia="仿宋"/>
          <w:szCs w:val="32"/>
          <w:lang w:val="en-US" w:eastAsia="zh-CN"/>
        </w:rPr>
        <w:t>211.59</w:t>
      </w:r>
      <w:r>
        <w:rPr>
          <w:rFonts w:hint="eastAsia" w:ascii="仿宋" w:hAnsi="仿宋" w:eastAsia="仿宋"/>
          <w:szCs w:val="32"/>
        </w:rPr>
        <w:t>万元，支出总计</w:t>
      </w:r>
      <w:r>
        <w:rPr>
          <w:rFonts w:hint="eastAsia" w:ascii="仿宋" w:hAnsi="仿宋" w:eastAsia="仿宋"/>
          <w:szCs w:val="32"/>
          <w:lang w:val="en-US" w:eastAsia="zh-CN"/>
        </w:rPr>
        <w:t>211.59</w:t>
      </w:r>
      <w:r>
        <w:rPr>
          <w:rFonts w:hint="eastAsia" w:ascii="仿宋" w:hAnsi="仿宋" w:eastAsia="仿宋"/>
          <w:szCs w:val="32"/>
        </w:rPr>
        <w:t>万元。其中：基本支出</w:t>
      </w:r>
      <w:r>
        <w:rPr>
          <w:rFonts w:hint="eastAsia" w:ascii="仿宋" w:hAnsi="仿宋" w:eastAsia="仿宋"/>
          <w:szCs w:val="32"/>
          <w:lang w:val="en-US" w:eastAsia="zh-CN"/>
        </w:rPr>
        <w:t>172.19</w:t>
      </w:r>
      <w:r>
        <w:rPr>
          <w:rFonts w:hint="eastAsia" w:ascii="仿宋" w:hAnsi="仿宋" w:eastAsia="仿宋"/>
          <w:szCs w:val="32"/>
        </w:rPr>
        <w:t>万元，占比</w:t>
      </w:r>
      <w:r>
        <w:rPr>
          <w:rFonts w:hint="eastAsia" w:ascii="仿宋" w:hAnsi="仿宋" w:eastAsia="仿宋"/>
          <w:szCs w:val="32"/>
          <w:lang w:val="en-US" w:eastAsia="zh-CN"/>
        </w:rPr>
        <w:t>81.4</w:t>
      </w:r>
      <w:r>
        <w:rPr>
          <w:rFonts w:hint="eastAsia" w:ascii="仿宋" w:hAnsi="仿宋" w:eastAsia="仿宋"/>
          <w:szCs w:val="32"/>
        </w:rPr>
        <w:t>%，项目支出</w:t>
      </w:r>
      <w:r>
        <w:rPr>
          <w:rFonts w:hint="eastAsia" w:ascii="仿宋" w:hAnsi="仿宋" w:eastAsia="仿宋"/>
          <w:szCs w:val="32"/>
          <w:lang w:val="en-US" w:eastAsia="zh-CN"/>
        </w:rPr>
        <w:t>39.4</w:t>
      </w:r>
      <w:r>
        <w:rPr>
          <w:rFonts w:hint="eastAsia" w:ascii="仿宋" w:hAnsi="仿宋" w:eastAsia="仿宋"/>
          <w:szCs w:val="32"/>
        </w:rPr>
        <w:t>万元，占比</w:t>
      </w:r>
      <w:r>
        <w:rPr>
          <w:rFonts w:hint="eastAsia" w:ascii="仿宋" w:hAnsi="仿宋" w:eastAsia="仿宋"/>
          <w:szCs w:val="32"/>
          <w:lang w:val="en-US" w:eastAsia="zh-CN"/>
        </w:rPr>
        <w:t>18.6</w:t>
      </w:r>
      <w:r>
        <w:rPr>
          <w:rFonts w:hint="eastAsia" w:ascii="仿宋" w:hAnsi="仿宋" w:eastAsia="仿宋"/>
          <w:szCs w:val="32"/>
        </w:rPr>
        <w:t>%。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2020年本部门预算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收入和支出均</w:t>
      </w:r>
      <w:r>
        <w:rPr>
          <w:rFonts w:hint="eastAsia" w:ascii="仿宋" w:hAnsi="仿宋" w:eastAsia="仿宋"/>
          <w:szCs w:val="32"/>
        </w:rPr>
        <w:t>较上年增加</w:t>
      </w:r>
      <w:r>
        <w:rPr>
          <w:rFonts w:hint="eastAsia" w:ascii="仿宋" w:hAnsi="仿宋" w:eastAsia="仿宋"/>
          <w:szCs w:val="32"/>
          <w:lang w:val="en-US" w:eastAsia="zh-CN"/>
        </w:rPr>
        <w:t>2.78</w:t>
      </w:r>
      <w:r>
        <w:rPr>
          <w:rFonts w:hint="eastAsia" w:ascii="仿宋" w:hAnsi="仿宋" w:eastAsia="仿宋"/>
          <w:szCs w:val="32"/>
        </w:rPr>
        <w:t>万元，增长</w:t>
      </w:r>
      <w:r>
        <w:rPr>
          <w:rFonts w:hint="eastAsia" w:ascii="仿宋" w:hAnsi="仿宋" w:eastAsia="仿宋"/>
          <w:szCs w:val="32"/>
          <w:lang w:val="en-US" w:eastAsia="zh-CN"/>
        </w:rPr>
        <w:t>1.3</w:t>
      </w:r>
      <w:r>
        <w:rPr>
          <w:rFonts w:ascii="仿宋" w:hAnsi="仿宋" w:eastAsia="仿宋"/>
          <w:szCs w:val="32"/>
        </w:rPr>
        <w:t>%</w:t>
      </w:r>
      <w:r>
        <w:rPr>
          <w:rFonts w:hint="eastAsia" w:ascii="仿宋" w:hAnsi="仿宋" w:eastAsia="仿宋"/>
          <w:szCs w:val="32"/>
        </w:rPr>
        <w:t>，主要原因</w:t>
      </w:r>
      <w:r>
        <w:rPr>
          <w:rFonts w:hint="eastAsia" w:ascii="仿宋" w:hAnsi="仿宋" w:eastAsia="仿宋"/>
          <w:szCs w:val="32"/>
          <w:lang w:val="en-US" w:eastAsia="zh-CN"/>
        </w:rPr>
        <w:t>是2020年度新调入人员工资、年度晋级晋档及社保缴费基数等增加。</w:t>
      </w:r>
    </w:p>
    <w:p>
      <w:pPr>
        <w:ind w:firstLine="640" w:firstLineChars="20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三、一般公共预算基本支出情况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2020年本部门一般公共预算基本支出</w:t>
      </w:r>
      <w:r>
        <w:rPr>
          <w:rFonts w:hint="eastAsia" w:ascii="仿宋" w:hAnsi="仿宋" w:eastAsia="仿宋"/>
          <w:szCs w:val="32"/>
          <w:lang w:val="en-US" w:eastAsia="zh-CN"/>
        </w:rPr>
        <w:t>172.19</w:t>
      </w:r>
      <w:r>
        <w:rPr>
          <w:rFonts w:hint="eastAsia" w:ascii="仿宋" w:hAnsi="仿宋" w:eastAsia="仿宋"/>
          <w:szCs w:val="32"/>
        </w:rPr>
        <w:t>万元，其中：人员经费</w:t>
      </w:r>
      <w:r>
        <w:rPr>
          <w:rFonts w:hint="eastAsia" w:ascii="仿宋" w:hAnsi="仿宋" w:eastAsia="仿宋"/>
          <w:szCs w:val="32"/>
          <w:lang w:val="en-US" w:eastAsia="zh-CN"/>
        </w:rPr>
        <w:t>163.39</w:t>
      </w:r>
      <w:r>
        <w:rPr>
          <w:rFonts w:hint="eastAsia" w:ascii="仿宋" w:hAnsi="仿宋" w:eastAsia="仿宋"/>
          <w:szCs w:val="32"/>
        </w:rPr>
        <w:t>万元，主要包括：基本工资、津贴补贴、绩效工资、机关事业单位基本养老保险缴费、医疗保险缴费、其他社会保障缴费、住房公积金；公用经费</w:t>
      </w:r>
      <w:r>
        <w:rPr>
          <w:rFonts w:hint="eastAsia" w:ascii="仿宋" w:hAnsi="仿宋" w:eastAsia="仿宋"/>
          <w:szCs w:val="32"/>
          <w:lang w:val="en-US" w:eastAsia="zh-CN"/>
        </w:rPr>
        <w:t>8.8</w:t>
      </w:r>
      <w:r>
        <w:rPr>
          <w:rFonts w:hint="eastAsia" w:ascii="仿宋" w:hAnsi="仿宋" w:eastAsia="仿宋"/>
          <w:szCs w:val="32"/>
        </w:rPr>
        <w:t>万元，主要包括：办公费、公务用车运行维护费、</w:t>
      </w:r>
      <w:r>
        <w:rPr>
          <w:rFonts w:hint="eastAsia" w:ascii="仿宋" w:hAnsi="仿宋" w:eastAsia="仿宋"/>
          <w:szCs w:val="32"/>
          <w:lang w:val="en-US" w:eastAsia="zh-CN"/>
        </w:rPr>
        <w:t>其</w:t>
      </w:r>
      <w:r>
        <w:rPr>
          <w:rFonts w:hint="eastAsia" w:ascii="仿宋" w:hAnsi="仿宋" w:eastAsia="仿宋"/>
          <w:szCs w:val="32"/>
        </w:rPr>
        <w:t>他商品和服务支出。</w:t>
      </w:r>
      <w:r>
        <w:rPr>
          <w:rFonts w:hint="eastAsia" w:ascii="仿宋" w:hAnsi="仿宋" w:eastAsia="仿宋"/>
          <w:szCs w:val="32"/>
          <w:lang w:val="en-US" w:eastAsia="zh-CN"/>
        </w:rPr>
        <w:t xml:space="preserve"> </w:t>
      </w:r>
    </w:p>
    <w:p>
      <w:pPr>
        <w:ind w:firstLine="640" w:firstLineChars="20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四、机关运行经费安排情况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ascii="仿宋" w:hAnsi="仿宋" w:eastAsia="仿宋"/>
          <w:szCs w:val="32"/>
        </w:rPr>
        <w:t>20</w:t>
      </w:r>
      <w:r>
        <w:rPr>
          <w:rFonts w:hint="eastAsia" w:ascii="仿宋" w:hAnsi="仿宋" w:eastAsia="仿宋"/>
          <w:szCs w:val="32"/>
        </w:rPr>
        <w:t>20年本部门机关运行经费安排</w:t>
      </w:r>
      <w:r>
        <w:rPr>
          <w:rFonts w:hint="eastAsia" w:ascii="仿宋" w:hAnsi="仿宋" w:eastAsia="仿宋"/>
          <w:szCs w:val="32"/>
          <w:lang w:val="en-US" w:eastAsia="zh-CN"/>
        </w:rPr>
        <w:t>8.8</w:t>
      </w:r>
      <w:r>
        <w:rPr>
          <w:rFonts w:hint="eastAsia" w:ascii="仿宋" w:hAnsi="仿宋" w:eastAsia="仿宋"/>
          <w:szCs w:val="32"/>
        </w:rPr>
        <w:t>万元，主要用于保障机关机构正常运转及正常履职需要的办公费、公务用车运行维护费、</w:t>
      </w:r>
      <w:r>
        <w:rPr>
          <w:rFonts w:hint="eastAsia" w:ascii="仿宋" w:hAnsi="仿宋" w:eastAsia="仿宋"/>
          <w:szCs w:val="32"/>
          <w:lang w:val="en-US" w:eastAsia="zh-CN"/>
        </w:rPr>
        <w:t>其</w:t>
      </w:r>
      <w:r>
        <w:rPr>
          <w:rFonts w:hint="eastAsia" w:ascii="仿宋" w:hAnsi="仿宋" w:eastAsia="仿宋"/>
          <w:szCs w:val="32"/>
        </w:rPr>
        <w:t>他商品和服务支出。比上年</w:t>
      </w:r>
      <w:r>
        <w:rPr>
          <w:rFonts w:hint="eastAsia" w:ascii="仿宋" w:hAnsi="仿宋" w:eastAsia="仿宋"/>
          <w:szCs w:val="32"/>
          <w:lang w:val="en-US" w:eastAsia="zh-CN"/>
        </w:rPr>
        <w:t>增加0.4</w:t>
      </w:r>
      <w:r>
        <w:rPr>
          <w:rFonts w:hint="eastAsia" w:ascii="仿宋" w:hAnsi="仿宋" w:eastAsia="仿宋"/>
          <w:szCs w:val="32"/>
        </w:rPr>
        <w:t>万元，</w:t>
      </w:r>
      <w:r>
        <w:rPr>
          <w:rFonts w:hint="eastAsia" w:ascii="仿宋" w:hAnsi="仿宋" w:eastAsia="仿宋"/>
          <w:szCs w:val="32"/>
          <w:lang w:val="en-US" w:eastAsia="zh-CN"/>
        </w:rPr>
        <w:t>增加4.7</w:t>
      </w:r>
      <w:r>
        <w:rPr>
          <w:rFonts w:hint="eastAsia" w:ascii="仿宋" w:hAnsi="仿宋" w:eastAsia="仿宋"/>
          <w:szCs w:val="32"/>
        </w:rPr>
        <w:t>%，主要原因是</w:t>
      </w:r>
      <w:r>
        <w:rPr>
          <w:rFonts w:hint="eastAsia" w:ascii="仿宋" w:hAnsi="仿宋" w:eastAsia="仿宋"/>
          <w:szCs w:val="32"/>
          <w:lang w:val="en-US" w:eastAsia="zh-CN"/>
        </w:rPr>
        <w:t>2020年度新增调入人员</w:t>
      </w:r>
      <w:r>
        <w:rPr>
          <w:rFonts w:hint="eastAsia" w:ascii="仿宋" w:hAnsi="仿宋" w:eastAsia="仿宋"/>
          <w:szCs w:val="32"/>
        </w:rPr>
        <w:t>。</w:t>
      </w:r>
    </w:p>
    <w:p>
      <w:pPr>
        <w:ind w:firstLine="640" w:firstLineChars="20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五、“三公”经费安排情况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ascii="仿宋" w:hAnsi="仿宋" w:eastAsia="仿宋"/>
          <w:szCs w:val="32"/>
        </w:rPr>
        <w:t>20</w:t>
      </w:r>
      <w:r>
        <w:rPr>
          <w:rFonts w:hint="eastAsia" w:ascii="仿宋" w:hAnsi="仿宋" w:eastAsia="仿宋"/>
          <w:szCs w:val="32"/>
        </w:rPr>
        <w:t>20年本部门“三公”经费预算</w:t>
      </w:r>
      <w:r>
        <w:rPr>
          <w:rFonts w:hint="eastAsia" w:ascii="仿宋" w:hAnsi="仿宋" w:eastAsia="仿宋"/>
          <w:szCs w:val="32"/>
          <w:lang w:val="en-US" w:eastAsia="zh-CN"/>
        </w:rPr>
        <w:t>5</w:t>
      </w:r>
      <w:r>
        <w:rPr>
          <w:rFonts w:hint="eastAsia" w:ascii="仿宋" w:hAnsi="仿宋" w:eastAsia="仿宋"/>
          <w:szCs w:val="32"/>
        </w:rPr>
        <w:t>万元，较上年减少</w:t>
      </w:r>
      <w:r>
        <w:rPr>
          <w:rFonts w:hint="eastAsia" w:ascii="仿宋" w:hAnsi="仿宋" w:eastAsia="仿宋"/>
          <w:szCs w:val="32"/>
          <w:lang w:val="en-US" w:eastAsia="zh-CN"/>
        </w:rPr>
        <w:t>3</w:t>
      </w:r>
      <w:r>
        <w:rPr>
          <w:rFonts w:hint="eastAsia" w:ascii="仿宋" w:hAnsi="仿宋" w:eastAsia="仿宋"/>
          <w:szCs w:val="32"/>
        </w:rPr>
        <w:t>万元，</w:t>
      </w:r>
      <w:r>
        <w:rPr>
          <w:rFonts w:hint="eastAsia" w:ascii="仿宋" w:hAnsi="仿宋" w:eastAsia="仿宋"/>
          <w:szCs w:val="32"/>
          <w:lang w:val="en-US" w:eastAsia="zh-CN"/>
        </w:rPr>
        <w:t>减少37.5%,</w:t>
      </w:r>
      <w:bookmarkStart w:id="0" w:name="_GoBack"/>
      <w:bookmarkEnd w:id="0"/>
      <w:r>
        <w:rPr>
          <w:rFonts w:hint="eastAsia" w:ascii="仿宋" w:hAnsi="仿宋" w:eastAsia="仿宋"/>
          <w:szCs w:val="32"/>
        </w:rPr>
        <w:t>主要原因是认真贯彻落实中央八项规定和厉行节约有关精神减少“三公”经费。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1.因公出国（境）费</w:t>
      </w:r>
      <w:r>
        <w:rPr>
          <w:rFonts w:hint="eastAsia" w:ascii="仿宋" w:hAnsi="仿宋" w:eastAsia="仿宋"/>
          <w:szCs w:val="32"/>
          <w:lang w:val="en-US" w:eastAsia="zh-CN"/>
        </w:rPr>
        <w:t>0</w:t>
      </w:r>
      <w:r>
        <w:rPr>
          <w:rFonts w:hint="eastAsia" w:ascii="仿宋" w:hAnsi="仿宋" w:eastAsia="仿宋"/>
          <w:szCs w:val="32"/>
        </w:rPr>
        <w:t>万元；</w:t>
      </w:r>
      <w:r>
        <w:rPr>
          <w:rFonts w:ascii="仿宋" w:hAnsi="仿宋" w:eastAsia="仿宋"/>
          <w:szCs w:val="32"/>
        </w:rPr>
        <w:t xml:space="preserve"> 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2.公务用车购置及运行费</w:t>
      </w:r>
      <w:r>
        <w:rPr>
          <w:rFonts w:hint="eastAsia" w:ascii="仿宋" w:hAnsi="仿宋" w:eastAsia="仿宋"/>
          <w:szCs w:val="32"/>
          <w:lang w:val="en-US" w:eastAsia="zh-CN"/>
        </w:rPr>
        <w:t>5</w:t>
      </w:r>
      <w:r>
        <w:rPr>
          <w:rFonts w:hint="eastAsia" w:ascii="仿宋" w:hAnsi="仿宋" w:eastAsia="仿宋"/>
          <w:szCs w:val="32"/>
        </w:rPr>
        <w:t>万元，其中：公务用车购置</w:t>
      </w:r>
      <w:r>
        <w:rPr>
          <w:rFonts w:hint="eastAsia" w:ascii="仿宋" w:hAnsi="仿宋" w:eastAsia="仿宋"/>
          <w:szCs w:val="32"/>
          <w:lang w:val="en-US" w:eastAsia="zh-CN"/>
        </w:rPr>
        <w:t>0</w:t>
      </w:r>
      <w:r>
        <w:rPr>
          <w:rFonts w:hint="eastAsia" w:ascii="仿宋" w:hAnsi="仿宋" w:eastAsia="仿宋"/>
          <w:szCs w:val="32"/>
        </w:rPr>
        <w:t>万元，公务用车运行费</w:t>
      </w:r>
      <w:r>
        <w:rPr>
          <w:rFonts w:hint="eastAsia" w:ascii="仿宋" w:hAnsi="仿宋" w:eastAsia="仿宋"/>
          <w:szCs w:val="32"/>
          <w:lang w:val="en-US" w:eastAsia="zh-CN"/>
        </w:rPr>
        <w:t>5</w:t>
      </w:r>
      <w:r>
        <w:rPr>
          <w:rFonts w:hint="eastAsia" w:ascii="仿宋" w:hAnsi="仿宋" w:eastAsia="仿宋"/>
          <w:szCs w:val="32"/>
        </w:rPr>
        <w:t>万元。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3.公务接待费</w:t>
      </w:r>
      <w:r>
        <w:rPr>
          <w:rFonts w:hint="eastAsia" w:ascii="仿宋" w:hAnsi="仿宋" w:eastAsia="仿宋"/>
          <w:szCs w:val="32"/>
          <w:lang w:val="en-US" w:eastAsia="zh-CN"/>
        </w:rPr>
        <w:t>0</w:t>
      </w:r>
      <w:r>
        <w:rPr>
          <w:rFonts w:hint="eastAsia" w:ascii="仿宋" w:hAnsi="仿宋" w:eastAsia="仿宋"/>
          <w:szCs w:val="32"/>
        </w:rPr>
        <w:t>万元。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黑体" w:hAnsi="黑体" w:eastAsia="黑体"/>
          <w:szCs w:val="32"/>
        </w:rPr>
        <w:t>六、政府采购安排情况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ascii="仿宋" w:hAnsi="仿宋" w:eastAsia="仿宋"/>
          <w:szCs w:val="32"/>
        </w:rPr>
        <w:t>20</w:t>
      </w:r>
      <w:r>
        <w:rPr>
          <w:rFonts w:hint="eastAsia" w:ascii="仿宋" w:hAnsi="仿宋" w:eastAsia="仿宋"/>
          <w:szCs w:val="32"/>
          <w:lang w:val="en-US" w:eastAsia="zh-CN"/>
        </w:rPr>
        <w:t>20</w:t>
      </w:r>
      <w:r>
        <w:rPr>
          <w:rFonts w:hint="eastAsia" w:ascii="仿宋" w:hAnsi="仿宋" w:eastAsia="仿宋"/>
          <w:szCs w:val="32"/>
        </w:rPr>
        <w:t>年本部门无政府采购预算安排。</w:t>
      </w:r>
    </w:p>
    <w:p>
      <w:pPr>
        <w:ind w:firstLine="640" w:firstLineChars="20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七、政府性基金预算安排情况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本部门无政府性基金预算收支安排，较上年无变动。</w:t>
      </w:r>
    </w:p>
    <w:p>
      <w:pPr>
        <w:ind w:firstLine="640" w:firstLineChars="20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八、</w:t>
      </w:r>
      <w:r>
        <w:rPr>
          <w:rFonts w:ascii="黑体" w:hAnsi="黑体" w:eastAsia="黑体"/>
          <w:szCs w:val="32"/>
        </w:rPr>
        <w:t>国有资产占用情况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ascii="仿宋" w:hAnsi="仿宋" w:eastAsia="仿宋"/>
          <w:szCs w:val="32"/>
        </w:rPr>
        <w:t>截止201</w:t>
      </w:r>
      <w:r>
        <w:rPr>
          <w:rFonts w:hint="eastAsia" w:ascii="仿宋" w:hAnsi="仿宋" w:eastAsia="仿宋"/>
          <w:szCs w:val="32"/>
        </w:rPr>
        <w:t>9年末，本部门共有：房屋建筑物</w:t>
      </w:r>
      <w:r>
        <w:rPr>
          <w:rFonts w:hint="eastAsia" w:ascii="仿宋" w:hAnsi="仿宋" w:eastAsia="仿宋"/>
          <w:szCs w:val="32"/>
          <w:lang w:val="en-US" w:eastAsia="zh-CN"/>
        </w:rPr>
        <w:t>495.8</w:t>
      </w:r>
      <w:r>
        <w:rPr>
          <w:rFonts w:hint="eastAsia" w:ascii="仿宋" w:hAnsi="仿宋" w:eastAsia="仿宋"/>
          <w:szCs w:val="32"/>
        </w:rPr>
        <w:t>平方</w:t>
      </w:r>
      <w:r>
        <w:rPr>
          <w:rFonts w:hint="eastAsia" w:ascii="仿宋" w:hAnsi="仿宋" w:eastAsia="仿宋"/>
          <w:szCs w:val="32"/>
          <w:lang w:eastAsia="zh-CN"/>
        </w:rPr>
        <w:t>；</w:t>
      </w:r>
      <w:r>
        <w:rPr>
          <w:rFonts w:hint="eastAsia" w:ascii="仿宋" w:hAnsi="仿宋" w:eastAsia="仿宋"/>
          <w:szCs w:val="32"/>
        </w:rPr>
        <w:t>车辆</w:t>
      </w:r>
      <w:r>
        <w:rPr>
          <w:rFonts w:hint="eastAsia" w:ascii="仿宋" w:hAnsi="仿宋" w:eastAsia="仿宋"/>
          <w:szCs w:val="32"/>
          <w:lang w:val="en-US" w:eastAsia="zh-CN"/>
        </w:rPr>
        <w:t>2</w:t>
      </w:r>
      <w:r>
        <w:rPr>
          <w:rFonts w:hint="eastAsia" w:ascii="仿宋" w:hAnsi="仿宋" w:eastAsia="仿宋"/>
          <w:szCs w:val="32"/>
        </w:rPr>
        <w:t>辆，其中：一般公务用车</w:t>
      </w:r>
      <w:r>
        <w:rPr>
          <w:rFonts w:hint="eastAsia" w:ascii="仿宋" w:hAnsi="仿宋" w:eastAsia="仿宋"/>
          <w:szCs w:val="32"/>
          <w:lang w:val="en-US" w:eastAsia="zh-CN"/>
        </w:rPr>
        <w:t>2</w:t>
      </w:r>
      <w:r>
        <w:rPr>
          <w:rFonts w:hint="eastAsia" w:ascii="仿宋" w:hAnsi="仿宋" w:eastAsia="仿宋"/>
          <w:szCs w:val="32"/>
        </w:rPr>
        <w:t>辆、一般执法执勤用车</w:t>
      </w:r>
      <w:r>
        <w:rPr>
          <w:rFonts w:hint="eastAsia" w:ascii="仿宋" w:hAnsi="仿宋" w:eastAsia="仿宋"/>
          <w:szCs w:val="32"/>
          <w:lang w:val="en-US" w:eastAsia="zh-CN"/>
        </w:rPr>
        <w:t>0</w:t>
      </w:r>
      <w:r>
        <w:rPr>
          <w:rFonts w:hint="eastAsia" w:ascii="仿宋" w:hAnsi="仿宋" w:eastAsia="仿宋"/>
          <w:szCs w:val="32"/>
        </w:rPr>
        <w:t>辆、特种专业技术用车</w:t>
      </w:r>
      <w:r>
        <w:rPr>
          <w:rFonts w:hint="eastAsia" w:ascii="仿宋" w:hAnsi="仿宋" w:eastAsia="仿宋"/>
          <w:szCs w:val="32"/>
          <w:lang w:val="en-US" w:eastAsia="zh-CN"/>
        </w:rPr>
        <w:t>0</w:t>
      </w:r>
      <w:r>
        <w:rPr>
          <w:rFonts w:hint="eastAsia" w:ascii="仿宋" w:hAnsi="仿宋" w:eastAsia="仿宋"/>
          <w:szCs w:val="32"/>
        </w:rPr>
        <w:t>辆，其他用车</w:t>
      </w:r>
      <w:r>
        <w:rPr>
          <w:rFonts w:hint="eastAsia" w:ascii="仿宋" w:hAnsi="仿宋" w:eastAsia="仿宋"/>
          <w:szCs w:val="32"/>
          <w:lang w:val="en-US" w:eastAsia="zh-CN"/>
        </w:rPr>
        <w:t>0</w:t>
      </w:r>
      <w:r>
        <w:rPr>
          <w:rFonts w:hint="eastAsia" w:ascii="仿宋" w:hAnsi="仿宋" w:eastAsia="仿宋"/>
          <w:szCs w:val="32"/>
        </w:rPr>
        <w:t>辆</w:t>
      </w:r>
      <w:r>
        <w:rPr>
          <w:rFonts w:hint="eastAsia" w:ascii="仿宋" w:hAnsi="仿宋" w:eastAsia="仿宋"/>
          <w:szCs w:val="32"/>
          <w:lang w:eastAsia="zh-CN"/>
        </w:rPr>
        <w:t>；</w:t>
      </w:r>
      <w:r>
        <w:rPr>
          <w:rFonts w:hint="eastAsia" w:ascii="仿宋" w:hAnsi="仿宋" w:eastAsia="仿宋"/>
          <w:szCs w:val="32"/>
        </w:rPr>
        <w:t>单位价值</w:t>
      </w:r>
      <w:r>
        <w:rPr>
          <w:rFonts w:ascii="仿宋" w:hAnsi="仿宋" w:eastAsia="仿宋"/>
          <w:szCs w:val="32"/>
        </w:rPr>
        <w:t>50</w:t>
      </w:r>
      <w:r>
        <w:rPr>
          <w:rFonts w:hint="eastAsia" w:ascii="仿宋" w:hAnsi="仿宋" w:eastAsia="仿宋"/>
          <w:szCs w:val="32"/>
        </w:rPr>
        <w:t>万元以上通用设备</w:t>
      </w:r>
      <w:r>
        <w:rPr>
          <w:rFonts w:hint="eastAsia" w:ascii="仿宋" w:hAnsi="仿宋" w:eastAsia="仿宋"/>
          <w:szCs w:val="32"/>
          <w:lang w:val="en-US" w:eastAsia="zh-CN"/>
        </w:rPr>
        <w:t>0</w:t>
      </w:r>
      <w:r>
        <w:rPr>
          <w:rFonts w:hint="eastAsia" w:ascii="仿宋" w:hAnsi="仿宋" w:eastAsia="仿宋"/>
          <w:szCs w:val="32"/>
        </w:rPr>
        <w:t>台（套），单位价值</w:t>
      </w:r>
      <w:r>
        <w:rPr>
          <w:rFonts w:ascii="仿宋" w:hAnsi="仿宋" w:eastAsia="仿宋"/>
          <w:szCs w:val="32"/>
        </w:rPr>
        <w:t>100</w:t>
      </w:r>
      <w:r>
        <w:rPr>
          <w:rFonts w:hint="eastAsia" w:ascii="仿宋" w:hAnsi="仿宋" w:eastAsia="仿宋"/>
          <w:szCs w:val="32"/>
        </w:rPr>
        <w:t>万元以上专用设备</w:t>
      </w:r>
      <w:r>
        <w:rPr>
          <w:rFonts w:hint="eastAsia" w:ascii="仿宋" w:hAnsi="仿宋" w:eastAsia="仿宋"/>
          <w:szCs w:val="32"/>
          <w:lang w:val="en-US" w:eastAsia="zh-CN"/>
        </w:rPr>
        <w:t>0</w:t>
      </w:r>
      <w:r>
        <w:rPr>
          <w:rFonts w:hint="eastAsia" w:ascii="仿宋" w:hAnsi="仿宋" w:eastAsia="仿宋"/>
          <w:szCs w:val="32"/>
        </w:rPr>
        <w:t>台（套）。</w:t>
      </w:r>
    </w:p>
    <w:p>
      <w:pPr>
        <w:ind w:firstLine="640" w:firstLineChars="20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九、预算绩效管理工作开展情况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按照《濮阳市华龙区财政局关于编制区级部门2020-2022年收支规划和2020年部门预算的通知》（华龙财〔2019〕108号）有关全面推进预算绩效管理方面的要求，本部门牢固树立“讲绩效、重绩效、用绩效”的绩效管理理念，年度预算申报时，针对政策及重点项目逐项设立并报送了预算绩效目标。绩效目标设定涉及</w:t>
      </w:r>
      <w:r>
        <w:rPr>
          <w:rFonts w:hint="eastAsia" w:ascii="仿宋" w:hAnsi="仿宋" w:eastAsia="仿宋"/>
          <w:szCs w:val="32"/>
          <w:lang w:val="en-US" w:eastAsia="zh-CN"/>
        </w:rPr>
        <w:t>2</w:t>
      </w:r>
      <w:r>
        <w:rPr>
          <w:rFonts w:hint="eastAsia" w:ascii="仿宋" w:hAnsi="仿宋" w:eastAsia="仿宋"/>
          <w:szCs w:val="32"/>
        </w:rPr>
        <w:t>个项目，</w:t>
      </w:r>
      <w:r>
        <w:rPr>
          <w:rFonts w:hint="eastAsia" w:ascii="仿宋" w:hAnsi="仿宋" w:eastAsia="仿宋"/>
          <w:szCs w:val="32"/>
          <w:lang w:val="en-US" w:eastAsia="zh-CN"/>
        </w:rPr>
        <w:t>23.4</w:t>
      </w:r>
      <w:r>
        <w:rPr>
          <w:rFonts w:hint="eastAsia" w:ascii="仿宋" w:hAnsi="仿宋" w:eastAsia="仿宋"/>
          <w:szCs w:val="32"/>
        </w:rPr>
        <w:t>万元，并将以此为基础开展后续预算绩效管理工作，努力建立健全以结果为导向的预算绩效管理工作机制。</w:t>
      </w:r>
    </w:p>
    <w:p>
      <w:pPr>
        <w:ind w:firstLine="640" w:firstLineChars="200"/>
        <w:rPr>
          <w:rFonts w:ascii="黑体" w:hAnsi="黑体" w:eastAsia="黑体"/>
          <w:szCs w:val="32"/>
        </w:rPr>
      </w:pPr>
    </w:p>
    <w:p>
      <w:pPr>
        <w:ind w:firstLine="640" w:firstLineChars="200"/>
        <w:rPr>
          <w:rFonts w:ascii="黑体" w:hAnsi="黑体" w:eastAsia="黑体"/>
          <w:szCs w:val="32"/>
        </w:rPr>
      </w:pPr>
    </w:p>
    <w:p>
      <w:pPr>
        <w:ind w:firstLine="640" w:firstLineChars="200"/>
        <w:rPr>
          <w:rFonts w:ascii="黑体" w:hAnsi="黑体" w:eastAsia="黑体"/>
          <w:szCs w:val="32"/>
        </w:rPr>
      </w:pPr>
    </w:p>
    <w:p>
      <w:pPr>
        <w:ind w:firstLine="640" w:firstLineChars="200"/>
        <w:rPr>
          <w:rFonts w:ascii="黑体" w:hAnsi="黑体" w:eastAsia="黑体"/>
          <w:szCs w:val="32"/>
        </w:rPr>
      </w:pPr>
    </w:p>
    <w:p>
      <w:pPr>
        <w:ind w:firstLine="640" w:firstLineChars="200"/>
        <w:rPr>
          <w:rFonts w:ascii="黑体" w:hAnsi="黑体" w:eastAsia="黑体"/>
          <w:szCs w:val="32"/>
        </w:rPr>
      </w:pPr>
    </w:p>
    <w:p>
      <w:pPr>
        <w:pStyle w:val="6"/>
        <w:topLinePunct/>
        <w:spacing w:before="0" w:beforeAutospacing="0" w:after="0" w:afterAutospacing="0" w:line="360" w:lineRule="auto"/>
        <w:jc w:val="center"/>
        <w:rPr>
          <w:rFonts w:ascii="Calibri" w:hAnsi="Calibri"/>
          <w:color w:val="000000"/>
          <w:sz w:val="22"/>
          <w:szCs w:val="21"/>
        </w:rPr>
      </w:pPr>
      <w:r>
        <w:rPr>
          <w:rFonts w:hint="eastAsia" w:ascii="黑体" w:hAnsi="黑体" w:eastAsia="黑体"/>
          <w:color w:val="000000"/>
          <w:sz w:val="36"/>
          <w:szCs w:val="32"/>
        </w:rPr>
        <w:t>第三部分</w:t>
      </w:r>
    </w:p>
    <w:p>
      <w:pPr>
        <w:pStyle w:val="6"/>
        <w:topLinePunct/>
        <w:spacing w:before="0" w:beforeAutospacing="0" w:after="0" w:afterAutospacing="0" w:line="360" w:lineRule="auto"/>
        <w:jc w:val="center"/>
        <w:rPr>
          <w:rFonts w:ascii="Calibri" w:hAnsi="Calibri"/>
          <w:color w:val="000000"/>
          <w:sz w:val="22"/>
          <w:szCs w:val="21"/>
        </w:rPr>
      </w:pPr>
      <w:r>
        <w:rPr>
          <w:rFonts w:hint="eastAsia" w:ascii="黑体" w:hAnsi="黑体" w:eastAsia="黑体"/>
          <w:color w:val="000000"/>
          <w:sz w:val="36"/>
          <w:szCs w:val="32"/>
        </w:rPr>
        <w:t>名词解释</w:t>
      </w:r>
    </w:p>
    <w:p>
      <w:pPr>
        <w:ind w:firstLine="640" w:firstLineChars="200"/>
        <w:rPr>
          <w:rFonts w:ascii="仿宋" w:hAnsi="仿宋" w:eastAsia="仿宋"/>
          <w:szCs w:val="32"/>
        </w:rPr>
      </w:pPr>
    </w:p>
    <w:p>
      <w:pPr>
        <w:ind w:firstLine="64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一、财政拨款收入</w:t>
      </w:r>
    </w:p>
    <w:p>
      <w:pPr>
        <w:ind w:firstLine="64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指本级财政当年拨付的资金。</w:t>
      </w:r>
    </w:p>
    <w:p>
      <w:pPr>
        <w:ind w:firstLine="64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二、事业收入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指事业单位开展专务活动及辅助所取得的收入。</w:t>
      </w:r>
    </w:p>
    <w:p>
      <w:pPr>
        <w:ind w:firstLine="64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三、其他收入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指除“财政拨款”、“事业收入”、“事业单位经营收入”、“附属单位上缴收入”等以外的收入。</w:t>
      </w:r>
    </w:p>
    <w:p>
      <w:pPr>
        <w:ind w:firstLine="64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四、基本支出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指为保障机构正常运转、完成日常工作任务所必需的开支，其内容包括人员经费和日常公用经费两部分。</w:t>
      </w:r>
    </w:p>
    <w:p>
      <w:pPr>
        <w:ind w:firstLine="64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五、项目支出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指在基本支出之外，为完成特定的行政工作任务或事业发展目标所发生的支出。</w:t>
      </w:r>
    </w:p>
    <w:p>
      <w:pPr>
        <w:ind w:firstLine="64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六、机关运行经费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指为保障行政单位（含参照公务员法管理的事业单位）正常运转及正常履职需要的支出，包括办公费、印刷费、“三公”经费、差旅费、会议费、日常维修费、办公用房水电费、办公用房取暖费、办公用房物业管理费、公务用车运行维护费以及其他费用。</w:t>
      </w:r>
    </w:p>
    <w:p>
      <w:pPr>
        <w:ind w:firstLine="64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七、“三公”经费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指纳入本级财政预决算管理，本级部门使用财政拨款安排的因公出国（境）费、公务用车购置及运行费和公务接待费。其中，因公出国（境）费指单位公务出国（境）的住宿费、旅费、伙食补助费、杂费、培训费等支出；公务用车购置及运行费指单位公务用车购置费及租用费、燃料费、维修费、过路过桥费、保险费、安全奖励费用等支出；公务接待费指单位按规定开支的各类接待支出。</w:t>
      </w:r>
    </w:p>
    <w:p>
      <w:pPr>
        <w:widowControl/>
        <w:jc w:val="left"/>
        <w:rPr>
          <w:rFonts w:ascii="仿宋" w:hAnsi="仿宋" w:eastAsia="仿宋"/>
          <w:szCs w:val="32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  <w:rPr>
                              <w:sz w:val="21"/>
                              <w:szCs w:val="21"/>
                            </w:rPr>
                          </w:pPr>
                          <w:r>
                            <w:rPr>
                              <w:rFonts w:hint="eastAsia"/>
                              <w:sz w:val="21"/>
                              <w:szCs w:val="21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21"/>
                              <w:szCs w:val="21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21"/>
                              <w:szCs w:val="21"/>
                            </w:rPr>
                            <w:fldChar w:fldCharType="separate"/>
                          </w:r>
                          <w:r>
                            <w:rPr>
                              <w:sz w:val="21"/>
                              <w:szCs w:val="21"/>
                            </w:rPr>
                            <w:t>- 10 -</w:t>
                          </w:r>
                          <w:r>
                            <w:rPr>
                              <w:rFonts w:hint="eastAsia"/>
                              <w:sz w:val="21"/>
                              <w:szCs w:val="21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CzSVju0AAAAAUBAAAPAAAAAAAAAAEAIAAAACIAAABk&#10;cnMvZG93bnJldi54bWxQSwECFAAUAAAACACHTuJA+k7mmg4CAAAHBAAADgAAAAAAAAABACAAAAAf&#10;AQAAZHJzL2Uyb0RvYy54bWxQSwUGAAAAAAYABgBZAQAAn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sz w:val="21"/>
                        <w:szCs w:val="21"/>
                      </w:rPr>
                    </w:pPr>
                    <w:r>
                      <w:rPr>
                        <w:rFonts w:hint="eastAsia"/>
                        <w:sz w:val="21"/>
                        <w:szCs w:val="21"/>
                      </w:rPr>
                      <w:fldChar w:fldCharType="begin"/>
                    </w:r>
                    <w:r>
                      <w:rPr>
                        <w:rFonts w:hint="eastAsia"/>
                        <w:sz w:val="21"/>
                        <w:szCs w:val="21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21"/>
                        <w:szCs w:val="21"/>
                      </w:rPr>
                      <w:fldChar w:fldCharType="separate"/>
                    </w:r>
                    <w:r>
                      <w:rPr>
                        <w:sz w:val="21"/>
                        <w:szCs w:val="21"/>
                      </w:rPr>
                      <w:t>- 10 -</w:t>
                    </w:r>
                    <w:r>
                      <w:rPr>
                        <w:rFonts w:hint="eastAsia"/>
                        <w:sz w:val="21"/>
                        <w:szCs w:val="21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5FAC"/>
    <w:rsid w:val="000B392C"/>
    <w:rsid w:val="00125FAC"/>
    <w:rsid w:val="00127F6F"/>
    <w:rsid w:val="00162A29"/>
    <w:rsid w:val="001852DE"/>
    <w:rsid w:val="001965F5"/>
    <w:rsid w:val="00196E05"/>
    <w:rsid w:val="001B31A3"/>
    <w:rsid w:val="00207623"/>
    <w:rsid w:val="0024750C"/>
    <w:rsid w:val="002A397A"/>
    <w:rsid w:val="00334DFB"/>
    <w:rsid w:val="00377211"/>
    <w:rsid w:val="003838FD"/>
    <w:rsid w:val="003C0C15"/>
    <w:rsid w:val="004A3479"/>
    <w:rsid w:val="004E79D5"/>
    <w:rsid w:val="0051511D"/>
    <w:rsid w:val="00583109"/>
    <w:rsid w:val="005C4BFD"/>
    <w:rsid w:val="005E427E"/>
    <w:rsid w:val="0060448E"/>
    <w:rsid w:val="00612ECF"/>
    <w:rsid w:val="007C5FD2"/>
    <w:rsid w:val="00845860"/>
    <w:rsid w:val="008A08E8"/>
    <w:rsid w:val="008A2F34"/>
    <w:rsid w:val="008D7DD2"/>
    <w:rsid w:val="008E57A8"/>
    <w:rsid w:val="00925F66"/>
    <w:rsid w:val="00975602"/>
    <w:rsid w:val="00976444"/>
    <w:rsid w:val="009A1FE2"/>
    <w:rsid w:val="00A02B5D"/>
    <w:rsid w:val="00B62460"/>
    <w:rsid w:val="00BC0D2F"/>
    <w:rsid w:val="00C15DCD"/>
    <w:rsid w:val="00C56A03"/>
    <w:rsid w:val="00D56ECE"/>
    <w:rsid w:val="00DA4FD4"/>
    <w:rsid w:val="00DF06AF"/>
    <w:rsid w:val="00E56EAF"/>
    <w:rsid w:val="00E72D14"/>
    <w:rsid w:val="00F34146"/>
    <w:rsid w:val="00F97444"/>
    <w:rsid w:val="00FC2311"/>
    <w:rsid w:val="00FD4637"/>
    <w:rsid w:val="00FE26A6"/>
    <w:rsid w:val="02277760"/>
    <w:rsid w:val="0B537820"/>
    <w:rsid w:val="10644710"/>
    <w:rsid w:val="146500B7"/>
    <w:rsid w:val="17C0671D"/>
    <w:rsid w:val="18397E33"/>
    <w:rsid w:val="1B2B2B40"/>
    <w:rsid w:val="481200D3"/>
    <w:rsid w:val="4A310708"/>
    <w:rsid w:val="4A5A7CF1"/>
    <w:rsid w:val="4B005134"/>
    <w:rsid w:val="50684B3E"/>
    <w:rsid w:val="52D53800"/>
    <w:rsid w:val="537D4091"/>
    <w:rsid w:val="58F72643"/>
    <w:rsid w:val="59184F90"/>
    <w:rsid w:val="5D027684"/>
    <w:rsid w:val="637764D6"/>
    <w:rsid w:val="761701EB"/>
    <w:rsid w:val="767348BA"/>
    <w:rsid w:val="77C47A36"/>
    <w:rsid w:val="795E3D6D"/>
    <w:rsid w:val="7B973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_GB2312" w:eastAsia="仿宋_GB2312" w:hAnsiTheme="minorHAnsi" w:cstheme="minorBidi"/>
      <w:kern w:val="2"/>
      <w:sz w:val="32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jc w:val="center"/>
      <w:outlineLvl w:val="0"/>
    </w:pPr>
    <w:rPr>
      <w:rFonts w:ascii="方正小标宋_GBK" w:eastAsia="方正小标宋_GBK"/>
      <w:sz w:val="44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semiHidden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9">
    <w:name w:val="标题 1 字符"/>
    <w:basedOn w:val="8"/>
    <w:link w:val="2"/>
    <w:qFormat/>
    <w:uiPriority w:val="9"/>
    <w:rPr>
      <w:rFonts w:ascii="方正小标宋_GBK" w:eastAsia="方正小标宋_GBK"/>
      <w:sz w:val="44"/>
    </w:rPr>
  </w:style>
  <w:style w:type="character" w:customStyle="1" w:styleId="10">
    <w:name w:val="页眉 字符"/>
    <w:basedOn w:val="8"/>
    <w:link w:val="5"/>
    <w:qFormat/>
    <w:uiPriority w:val="99"/>
    <w:rPr>
      <w:rFonts w:ascii="仿宋_GB2312" w:eastAsia="仿宋_GB2312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仿宋_GB2312" w:eastAsia="仿宋_GB2312"/>
      <w:sz w:val="18"/>
      <w:szCs w:val="18"/>
    </w:rPr>
  </w:style>
  <w:style w:type="paragraph" w:styleId="12">
    <w:name w:val="List Paragraph"/>
    <w:basedOn w:val="1"/>
    <w:qFormat/>
    <w:uiPriority w:val="34"/>
    <w:pPr>
      <w:ind w:firstLine="420" w:firstLineChars="200"/>
    </w:pPr>
  </w:style>
  <w:style w:type="character" w:customStyle="1" w:styleId="13">
    <w:name w:val="批注框文本 字符"/>
    <w:basedOn w:val="8"/>
    <w:link w:val="3"/>
    <w:semiHidden/>
    <w:qFormat/>
    <w:uiPriority w:val="99"/>
    <w:rPr>
      <w:rFonts w:ascii="仿宋_GB2312" w:eastAsia="仿宋_GB231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397</Words>
  <Characters>2269</Characters>
  <Lines>18</Lines>
  <Paragraphs>5</Paragraphs>
  <TotalTime>1</TotalTime>
  <ScaleCrop>false</ScaleCrop>
  <LinksUpToDate>false</LinksUpToDate>
  <CharactersWithSpaces>2661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2020-03-03T01:56:00Z</dcterms:created>
  <dc:creator>ys-pc</dc:creator>
  <cp:lastModifiedBy>lenovo</cp:lastModifiedBy>
  <cp:lastPrinted>2020-03-03T07:59:00Z</cp:lastPrinted>
  <dcterms:modified xsi:type="dcterms:W3CDTF">2020-12-14T08:59:09Z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