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  <w:t>中共濮阳市华龙区委政法委员会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中共濮阳市华龙区委政法委员会</w:t>
      </w:r>
      <w:r>
        <w:rPr>
          <w:rFonts w:hint="eastAsia" w:ascii="黑体" w:hAnsi="黑体" w:eastAsia="黑体"/>
          <w:color w:val="000000"/>
          <w:sz w:val="32"/>
          <w:szCs w:val="32"/>
        </w:rPr>
        <w:t>2020年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/>
          <w:color w:val="000000"/>
          <w:sz w:val="32"/>
          <w:szCs w:val="32"/>
        </w:rPr>
        <w:t>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贯彻落实习近平新时代中国特色社会主义思想，贯彻落实党的路线方针政策和决策部署，统一全区政法各部门思想和行动，坚持党对政法工作的绝对领导，坚决维护党中央权威和集中统一领导</w:t>
      </w:r>
      <w:r>
        <w:rPr>
          <w:rFonts w:hint="eastAsia" w:ascii="仿宋_GB2312" w:hAnsi="Times New Roman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Times New Roman" w:eastAsia="仿宋_GB2312" w:cs="仿宋_GB2312"/>
          <w:sz w:val="32"/>
          <w:szCs w:val="32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贯彻落实党中央及省委、市委、区委决定，对全区政法工作研究提出部署，推进平安华龙、法制华龙建设，加强过硬政法队伍建设，深化智能化建设，坚决维护国家政法安全，确保全区社会大局稳定、促进社会公平正义、保障人民安居乐业</w:t>
      </w:r>
      <w:r>
        <w:rPr>
          <w:rFonts w:hint="eastAsia" w:ascii="仿宋_GB2312" w:hAnsi="Times New Roman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了解掌握和分析研判全区政法工作情况动态、分析社会稳定形势，创新完善多部门参与的综治维稳工作机制，研究加强社会治安综合治理、创新社会治理体系和提高社会治理能力有关重大问题，协调推动预防、化解影响全区稳定的社会矛盾和风险，协调应对和处置重大突发事件</w:t>
      </w:r>
      <w:r>
        <w:rPr>
          <w:rFonts w:hint="eastAsia" w:ascii="仿宋_GB2312" w:hAnsi="Times New Roman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</w:rPr>
        <w:t>、监督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和支持</w:t>
      </w:r>
      <w:r>
        <w:rPr>
          <w:rFonts w:hint="eastAsia" w:ascii="仿宋_GB2312" w:hAnsi="Times New Roman" w:eastAsia="仿宋_GB2312" w:cs="仿宋_GB2312"/>
          <w:sz w:val="32"/>
          <w:szCs w:val="32"/>
        </w:rPr>
        <w:t>政法部门依法行使职权，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指</w:t>
      </w:r>
      <w:r>
        <w:rPr>
          <w:rFonts w:hint="eastAsia" w:ascii="仿宋_GB2312" w:hAnsi="Times New Roman" w:eastAsia="仿宋_GB2312" w:cs="仿宋_GB2312"/>
          <w:sz w:val="32"/>
          <w:szCs w:val="32"/>
        </w:rPr>
        <w:t>导和协调政法部门密切配合，督促推动大案、要案的查处工作，研究和讨论有争议的重大疑难案件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，推进严格执法、公正司法</w:t>
      </w:r>
      <w:r>
        <w:rPr>
          <w:rFonts w:hint="eastAsia" w:ascii="仿宋_GB2312" w:hAnsi="Times New Roman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加强对全区政法工作的督查，统筹协调社会治安综合治理、平安华龙建设、维护社会稳定、反邪教有关法律法规政策的实施工作</w:t>
      </w:r>
      <w:r>
        <w:rPr>
          <w:rFonts w:hint="eastAsia" w:ascii="仿宋_GB2312" w:hAnsi="Times New Roman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Times New Roman" w:eastAsia="仿宋_GB2312" w:cs="仿宋_GB2312"/>
          <w:sz w:val="32"/>
          <w:szCs w:val="32"/>
        </w:rPr>
        <w:t>、组织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开展全区</w:t>
      </w:r>
      <w:r>
        <w:rPr>
          <w:rFonts w:hint="eastAsia" w:ascii="仿宋_GB2312" w:hAnsi="Times New Roman" w:eastAsia="仿宋_GB2312" w:cs="仿宋_GB2312"/>
          <w:sz w:val="32"/>
          <w:szCs w:val="32"/>
        </w:rPr>
        <w:t>政法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系统</w:t>
      </w:r>
      <w:r>
        <w:rPr>
          <w:rFonts w:hint="eastAsia" w:ascii="仿宋_GB2312" w:hAnsi="Times New Roman" w:eastAsia="仿宋_GB2312" w:cs="仿宋_GB2312"/>
          <w:sz w:val="32"/>
          <w:szCs w:val="32"/>
        </w:rPr>
        <w:t>的调查研究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和理论研究，参与有关法规的起草、修改</w:t>
      </w:r>
      <w:r>
        <w:rPr>
          <w:rFonts w:hint="eastAsia" w:ascii="仿宋_GB2312" w:hAnsi="Times New Roman" w:eastAsia="仿宋_GB2312" w:cs="仿宋_GB2312"/>
          <w:sz w:val="32"/>
          <w:szCs w:val="32"/>
        </w:rPr>
        <w:t>工作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，及时提出地方立法建议</w:t>
      </w:r>
      <w:r>
        <w:rPr>
          <w:rFonts w:hint="eastAsia" w:ascii="仿宋_GB2312" w:hAnsi="Times New Roman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Times New Roman" w:eastAsia="仿宋_GB2312" w:cs="仿宋_GB2312"/>
          <w:sz w:val="32"/>
          <w:szCs w:val="32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指导推动</w:t>
      </w:r>
      <w:r>
        <w:rPr>
          <w:rFonts w:hint="eastAsia" w:ascii="仿宋_GB2312" w:hAnsi="Times New Roman" w:eastAsia="仿宋_GB2312" w:cs="仿宋_GB2312"/>
          <w:sz w:val="32"/>
          <w:szCs w:val="32"/>
        </w:rPr>
        <w:t>全区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政法系统党的</w:t>
      </w:r>
      <w:r>
        <w:rPr>
          <w:rFonts w:hint="eastAsia" w:ascii="仿宋_GB2312" w:hAnsi="Times New Roman" w:eastAsia="仿宋_GB2312" w:cs="仿宋_GB2312"/>
          <w:sz w:val="32"/>
          <w:szCs w:val="32"/>
        </w:rPr>
        <w:t>建设和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政法队伍</w:t>
      </w:r>
      <w:r>
        <w:rPr>
          <w:rFonts w:hint="eastAsia" w:ascii="仿宋_GB2312" w:hAnsi="Times New Roman" w:eastAsia="仿宋_GB2312" w:cs="仿宋_GB2312"/>
          <w:sz w:val="32"/>
          <w:szCs w:val="32"/>
        </w:rPr>
        <w:t>建设。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8、掌握分析全区政法舆情动态，指导协调政法部门媒体网络宣传工作，指导政法部门做好涉及政法工作的重大宣传工作。</w:t>
      </w:r>
    </w:p>
    <w:p>
      <w:pPr>
        <w:spacing w:line="60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仿宋_GB2312"/>
          <w:sz w:val="32"/>
          <w:szCs w:val="32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完成</w:t>
      </w:r>
      <w:r>
        <w:rPr>
          <w:rFonts w:hint="eastAsia" w:ascii="仿宋_GB2312" w:hAnsi="Times New Roman" w:eastAsia="仿宋_GB2312" w:cs="仿宋_GB2312"/>
          <w:sz w:val="32"/>
          <w:szCs w:val="32"/>
        </w:rPr>
        <w:t>区委、区政府交办的其他事项。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</w:rPr>
        <w:t>根据工作职责及实际工作需要，区委政法委员</w:t>
      </w:r>
      <w:r>
        <w:rPr>
          <w:rFonts w:hint="eastAsia" w:ascii="仿宋" w:hAnsi="仿宋" w:eastAsia="仿宋" w:cs="仿宋"/>
          <w:sz w:val="32"/>
          <w:lang w:eastAsia="zh-CN"/>
        </w:rPr>
        <w:t>会内</w:t>
      </w:r>
      <w:r>
        <w:rPr>
          <w:rFonts w:hint="eastAsia" w:ascii="仿宋" w:hAnsi="仿宋" w:eastAsia="仿宋" w:cs="仿宋"/>
          <w:sz w:val="32"/>
        </w:rPr>
        <w:t>设办公室、政治部、</w:t>
      </w:r>
      <w:r>
        <w:rPr>
          <w:rFonts w:hint="eastAsia" w:ascii="仿宋" w:hAnsi="仿宋" w:eastAsia="仿宋" w:cs="仿宋"/>
          <w:sz w:val="32"/>
          <w:lang w:eastAsia="zh-CN"/>
        </w:rPr>
        <w:t>宣传股、执法监督股</w:t>
      </w:r>
      <w:r>
        <w:rPr>
          <w:rFonts w:hint="eastAsia" w:ascii="仿宋" w:hAnsi="仿宋" w:eastAsia="仿宋" w:cs="仿宋"/>
          <w:sz w:val="32"/>
        </w:rPr>
        <w:t>、</w:t>
      </w:r>
      <w:r>
        <w:rPr>
          <w:rFonts w:hint="eastAsia" w:ascii="仿宋" w:hAnsi="仿宋" w:eastAsia="仿宋" w:cs="仿宋"/>
          <w:sz w:val="32"/>
          <w:lang w:eastAsia="zh-CN"/>
        </w:rPr>
        <w:t>综治指导股</w:t>
      </w:r>
      <w:r>
        <w:rPr>
          <w:rFonts w:hint="eastAsia" w:ascii="仿宋" w:hAnsi="仿宋" w:eastAsia="仿宋" w:cs="仿宋"/>
          <w:sz w:val="32"/>
        </w:rPr>
        <w:t>、维稳</w:t>
      </w:r>
      <w:r>
        <w:rPr>
          <w:rFonts w:hint="eastAsia" w:ascii="仿宋" w:hAnsi="仿宋" w:eastAsia="仿宋" w:cs="仿宋"/>
          <w:sz w:val="32"/>
          <w:lang w:eastAsia="zh-CN"/>
        </w:rPr>
        <w:t>指导股</w:t>
      </w:r>
      <w:r>
        <w:rPr>
          <w:rFonts w:hint="eastAsia" w:ascii="仿宋" w:hAnsi="仿宋" w:eastAsia="仿宋" w:cs="仿宋"/>
          <w:sz w:val="32"/>
        </w:rPr>
        <w:t>、</w:t>
      </w:r>
      <w:r>
        <w:rPr>
          <w:rFonts w:hint="eastAsia" w:ascii="仿宋" w:hAnsi="仿宋" w:eastAsia="仿宋" w:cs="仿宋"/>
          <w:sz w:val="32"/>
          <w:lang w:eastAsia="zh-CN"/>
        </w:rPr>
        <w:t>平安创建股、反邪教协调股、</w:t>
      </w:r>
      <w:r>
        <w:rPr>
          <w:rFonts w:hint="eastAsia" w:ascii="仿宋" w:hAnsi="仿宋" w:eastAsia="仿宋" w:cs="仿宋"/>
          <w:sz w:val="32"/>
        </w:rPr>
        <w:t>法学会、区巡防大队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个职能科室。</w:t>
      </w: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1485.48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1485.48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1485.48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1485.48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300.58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1184.9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80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较上年增加</w:t>
      </w:r>
      <w:r>
        <w:rPr>
          <w:rFonts w:hint="eastAsia" w:ascii="仿宋" w:hAnsi="仿宋" w:eastAsia="仿宋"/>
          <w:szCs w:val="32"/>
          <w:lang w:val="en-US" w:eastAsia="zh-CN"/>
        </w:rPr>
        <w:t>70.02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hint="eastAsia" w:ascii="仿宋" w:hAnsi="仿宋" w:eastAsia="仿宋"/>
          <w:szCs w:val="32"/>
          <w:lang w:val="en-US" w:eastAsia="zh-CN"/>
        </w:rPr>
        <w:t>4.9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</w:t>
      </w:r>
      <w:r>
        <w:rPr>
          <w:rFonts w:hint="eastAsia" w:ascii="仿宋" w:hAnsi="仿宋" w:eastAsia="仿宋"/>
          <w:szCs w:val="32"/>
          <w:lang w:eastAsia="zh-CN"/>
        </w:rPr>
        <w:t>新增综治中心建设经费及人员工资变动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300.58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279.18</w:t>
      </w:r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万元，主要包括：基本工资、津贴补贴、绩效工资、机关事业单位基本养老保险缴费、医疗保险缴费、其他社会保障缴费、住房公积金、其他工资福利支出、退休费；公用经费</w:t>
      </w:r>
      <w:r>
        <w:rPr>
          <w:rFonts w:hint="eastAsia" w:ascii="仿宋" w:hAnsi="仿宋" w:eastAsia="仿宋"/>
          <w:szCs w:val="32"/>
          <w:lang w:val="en-US" w:eastAsia="zh-CN"/>
        </w:rPr>
        <w:t>21.4</w:t>
      </w:r>
      <w:r>
        <w:rPr>
          <w:rFonts w:hint="eastAsia" w:ascii="仿宋" w:hAnsi="仿宋" w:eastAsia="仿宋"/>
          <w:szCs w:val="32"/>
        </w:rPr>
        <w:t>万元，主要包括：办公费、公务用车运行维护费、其他商品和服务支出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21.4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万元，主要用于保障机关机构正常运转及正常履职需要的办公费、公务用车运行维护费、其他商品和服务支出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等方面，</w:t>
      </w:r>
      <w:r>
        <w:rPr>
          <w:rFonts w:hint="eastAsia" w:ascii="仿宋" w:hAnsi="仿宋" w:eastAsia="仿宋"/>
          <w:szCs w:val="32"/>
        </w:rPr>
        <w:t>比上年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1.8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9</w:t>
      </w:r>
      <w:r>
        <w:rPr>
          <w:rFonts w:hint="eastAsia" w:ascii="仿宋" w:hAnsi="仿宋" w:eastAsia="仿宋"/>
          <w:szCs w:val="32"/>
        </w:rPr>
        <w:t>%，主要原因</w:t>
      </w:r>
      <w:r>
        <w:rPr>
          <w:rFonts w:hint="eastAsia" w:ascii="仿宋" w:hAnsi="仿宋" w:eastAsia="仿宋"/>
          <w:szCs w:val="32"/>
          <w:lang w:eastAsia="zh-CN"/>
        </w:rPr>
        <w:t>是机关人员增加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2.5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val="en-US" w:eastAsia="zh-CN"/>
        </w:rPr>
        <w:t>与上年持平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2.5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2.5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color w:val="FF0000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color w:val="FF0000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9年末，本部门共有：车辆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辆，其中：一般公务用车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辆、一般执法执勤用车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辆、特种专业技术用车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辆，其他用车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辆，是</w:t>
      </w:r>
      <w:r>
        <w:rPr>
          <w:rFonts w:hint="eastAsia" w:ascii="仿宋" w:hAnsi="仿宋" w:eastAsia="仿宋"/>
          <w:szCs w:val="32"/>
          <w:lang w:eastAsia="zh-CN"/>
        </w:rPr>
        <w:t>因机构改革单位合并划入</w:t>
      </w:r>
      <w:r>
        <w:rPr>
          <w:rFonts w:hint="eastAsia" w:ascii="仿宋" w:hAnsi="仿宋" w:eastAsia="仿宋"/>
          <w:szCs w:val="32"/>
        </w:rPr>
        <w:t>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个项目，</w:t>
      </w:r>
      <w:r>
        <w:rPr>
          <w:rFonts w:hint="eastAsia" w:ascii="仿宋" w:hAnsi="仿宋" w:eastAsia="仿宋"/>
          <w:szCs w:val="32"/>
          <w:lang w:val="en-US" w:eastAsia="zh-CN"/>
        </w:rPr>
        <w:t>1160.9</w:t>
      </w:r>
      <w:r>
        <w:rPr>
          <w:rFonts w:hint="eastAsia" w:ascii="仿宋" w:hAnsi="仿宋" w:eastAsia="仿宋"/>
          <w:szCs w:val="32"/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二</w:t>
      </w:r>
      <w:r>
        <w:rPr>
          <w:rFonts w:hint="eastAsia" w:ascii="黑体" w:hAnsi="黑体" w:eastAsia="黑体"/>
          <w:szCs w:val="32"/>
        </w:rPr>
        <w:t>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三</w:t>
      </w:r>
      <w:r>
        <w:rPr>
          <w:rFonts w:hint="eastAsia" w:ascii="黑体" w:hAnsi="黑体" w:eastAsia="黑体"/>
          <w:szCs w:val="32"/>
        </w:rPr>
        <w:t>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四</w:t>
      </w:r>
      <w:r>
        <w:rPr>
          <w:rFonts w:hint="eastAsia" w:ascii="黑体" w:hAnsi="黑体" w:eastAsia="黑体"/>
          <w:szCs w:val="32"/>
        </w:rPr>
        <w:t>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五</w:t>
      </w:r>
      <w:r>
        <w:rPr>
          <w:rFonts w:hint="eastAsia" w:ascii="黑体" w:hAnsi="黑体" w:eastAsia="黑体"/>
          <w:szCs w:val="32"/>
        </w:rPr>
        <w:t>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3AD0860"/>
    <w:rsid w:val="07A14549"/>
    <w:rsid w:val="08330285"/>
    <w:rsid w:val="102020F4"/>
    <w:rsid w:val="175D08B2"/>
    <w:rsid w:val="1C446485"/>
    <w:rsid w:val="29040332"/>
    <w:rsid w:val="292B7D0A"/>
    <w:rsid w:val="2AEA0364"/>
    <w:rsid w:val="33C069CC"/>
    <w:rsid w:val="34F609CB"/>
    <w:rsid w:val="35CC4BBB"/>
    <w:rsid w:val="35CF07D8"/>
    <w:rsid w:val="369A4650"/>
    <w:rsid w:val="3C9424AC"/>
    <w:rsid w:val="44D05698"/>
    <w:rsid w:val="497958C4"/>
    <w:rsid w:val="4E26326E"/>
    <w:rsid w:val="4E35524B"/>
    <w:rsid w:val="4F920CD6"/>
    <w:rsid w:val="537D4091"/>
    <w:rsid w:val="677E7345"/>
    <w:rsid w:val="6AC519B1"/>
    <w:rsid w:val="6FD87EB0"/>
    <w:rsid w:val="729645DF"/>
    <w:rsid w:val="75CC4303"/>
    <w:rsid w:val="784171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2020-12-14T08:37:09Z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