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:lang w:eastAsia="zh-CN"/>
          <w14:textFill>
            <w14:solidFill>
              <w14:schemeClr w14:val="tx1"/>
            </w14:solidFill>
          </w14:textFill>
        </w:rPr>
        <w:t>中共濮阳市华龙区委组织部</w:t>
      </w:r>
    </w:p>
    <w:p>
      <w:pPr>
        <w:jc w:val="center"/>
        <w:rPr>
          <w:rFonts w:ascii="方正小标宋简体" w:hAnsi="方正小标宋简体" w:eastAsia="方正小标宋简体" w:cs="方正小标宋简体"/>
          <w:color w:val="000000" w:themeColor="text1"/>
          <w:spacing w:val="-20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14:textFill>
            <w14:solidFill>
              <w14:schemeClr w14:val="tx1"/>
            </w14:solidFill>
          </w14:textFill>
        </w:rPr>
        <w:t>2020年部门预算公开说明</w:t>
      </w: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eastAsia" w:ascii="方正小标宋_GBK" w:eastAsia="方正小标宋_GBK"/>
          <w:color w:val="000000" w:themeColor="text1"/>
          <w:sz w:val="40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楷体_GB2312" w:eastAsia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〇</w:t>
      </w:r>
      <w:r>
        <w:rPr>
          <w:rFonts w:hint="eastAsia" w:ascii="楷体_GB2312" w:eastAsia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〇</w:t>
      </w:r>
      <w:r>
        <w:rPr>
          <w:rFonts w:hint="eastAsia" w:ascii="楷体_GB2312" w:hAnsi="楷体_GB2312" w:eastAsia="楷体_GB2312" w:cs="楷体_GB2312"/>
          <w:b/>
          <w:color w:val="000000" w:themeColor="text1"/>
          <w:w w:val="90"/>
          <w:sz w:val="40"/>
          <w14:textFill>
            <w14:solidFill>
              <w14:schemeClr w14:val="tx1"/>
            </w14:solidFill>
          </w14:textFill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 w:themeColor="text1"/>
          <w:kern w:val="0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第一部分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部门概况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中共濮阳市华龙区委组织部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部门概况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一、部门主要职责</w:t>
      </w:r>
    </w:p>
    <w:p>
      <w:pPr>
        <w:pStyle w:val="14"/>
        <w:spacing w:line="560" w:lineRule="atLeast"/>
        <w:ind w:firstLine="64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负责全区党组织建设及党员的教育、发展、管理工作；负责全区领导班子和干部队伍建设以及干部监督工作；负责全区知识分子及高学历人才的选拔、管理、考核等工作；负责全区党委、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HYPERLINK "https://www.baidu.com/s?wd=%E4%BA%BA%E5%A4%A7%E5%B8%B8%E5%A7%94%E4%BC%9A&amp;tn=44039180_cpr&amp;fenlei=mv6quAkxTZn0IZRqIHckPjm4nH00T1YkryPBP1DsuHFWuj9WnHDk0ZwV5Hcvrjm3rH6sPfKWUMw85HfYnjn4nH6sgvPsT6KdThsqpZwYTjCEQLGCpyw9Uz4Bmy-bIi4WUvYETgN-TLwGUv3EnHmsPj61nHfsP1TdnjckP1TYPs"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、政协、群众团体和民主党派等机关参照相关法律法规进行管理的工作；负责指导全区参照管理单位的参照管理工作。 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二、机构设置情况</w:t>
      </w:r>
    </w:p>
    <w:p>
      <w:pPr>
        <w:spacing w:line="586" w:lineRule="atLeast"/>
        <w:ind w:firstLine="639"/>
        <w:textAlignment w:val="center"/>
        <w:rPr>
          <w:rFonts w:hint="eastAsia" w:ascii="仿宋_GB2312" w:hAnsi="仿宋_GB2312" w:eastAsia="仿宋_GB2312"/>
          <w:color w:val="000000" w:themeColor="text1"/>
          <w:spacing w:val="-3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pacing w:val="-3"/>
          <w:sz w:val="32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hAnsi="仿宋_GB2312"/>
          <w:color w:val="000000" w:themeColor="text1"/>
          <w:spacing w:val="-3"/>
          <w:sz w:val="32"/>
          <w:lang w:eastAsia="zh-CN"/>
          <w14:textFill>
            <w14:solidFill>
              <w14:schemeClr w14:val="tx1"/>
            </w14:solidFill>
          </w14:textFill>
        </w:rPr>
        <w:t>工作职责及实际工作需要，</w:t>
      </w:r>
      <w:r>
        <w:rPr>
          <w:rFonts w:hint="eastAsia" w:ascii="仿宋_GB2312" w:hAnsi="仿宋_GB2312" w:eastAsia="仿宋_GB2312"/>
          <w:color w:val="000000" w:themeColor="text1"/>
          <w:spacing w:val="-3"/>
          <w:sz w:val="32"/>
          <w14:textFill>
            <w14:solidFill>
              <w14:schemeClr w14:val="tx1"/>
            </w14:solidFill>
          </w14:textFill>
        </w:rPr>
        <w:t>华龙区委</w:t>
      </w:r>
      <w:r>
        <w:rPr>
          <w:rFonts w:hint="eastAsia" w:ascii="仿宋_GB2312" w:hAnsi="仿宋_GB2312" w:eastAsia="仿宋_GB2312"/>
          <w:color w:val="000000" w:themeColor="text1"/>
          <w:spacing w:val="-3"/>
          <w:sz w:val="32"/>
          <w:lang w:eastAsia="zh-CN"/>
          <w14:textFill>
            <w14:solidFill>
              <w14:schemeClr w14:val="tx1"/>
            </w14:solidFill>
          </w14:textFill>
        </w:rPr>
        <w:t>组织部</w:t>
      </w:r>
      <w:r>
        <w:rPr>
          <w:rFonts w:hint="eastAsia" w:hAnsi="仿宋_GB2312"/>
          <w:color w:val="000000" w:themeColor="text1"/>
          <w:spacing w:val="-3"/>
          <w:sz w:val="32"/>
          <w:lang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="仿宋_GB2312" w:hAnsi="仿宋_GB2312" w:eastAsia="仿宋_GB2312"/>
          <w:color w:val="000000" w:themeColor="text1"/>
          <w:spacing w:val="-3"/>
          <w:sz w:val="32"/>
          <w14:textFill>
            <w14:solidFill>
              <w14:schemeClr w14:val="tx1"/>
            </w14:solidFill>
          </w14:textFill>
        </w:rPr>
        <w:t>设</w:t>
      </w:r>
      <w:r>
        <w:rPr>
          <w:rFonts w:hint="eastAsia" w:ascii="仿宋_GB2312" w:hAnsi="仿宋_GB2312" w:eastAsia="仿宋_GB2312"/>
          <w:color w:val="000000" w:themeColor="text1"/>
          <w:spacing w:val="-3"/>
          <w:sz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仿宋_GB2312"/>
          <w:color w:val="000000" w:themeColor="text1"/>
          <w:spacing w:val="-3"/>
          <w:sz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/>
          <w:color w:val="000000" w:themeColor="text1"/>
          <w:spacing w:val="-3"/>
          <w:sz w:val="32"/>
          <w14:textFill>
            <w14:solidFill>
              <w14:schemeClr w14:val="tx1"/>
            </w14:solidFill>
          </w14:textFill>
        </w:rPr>
        <w:t>个机构</w:t>
      </w:r>
      <w:r>
        <w:rPr>
          <w:rFonts w:hint="eastAsia" w:hAnsi="仿宋_GB2312"/>
          <w:color w:val="000000" w:themeColor="text1"/>
          <w:spacing w:val="-3"/>
          <w:sz w:val="32"/>
          <w:lang w:eastAsia="zh-CN"/>
          <w14:textFill>
            <w14:solidFill>
              <w14:schemeClr w14:val="tx1"/>
            </w14:solidFill>
          </w14:textFill>
        </w:rPr>
        <w:t>，分别是办公室、研究室、组织一室、组织二室、组织三室、干部室、干部队伍建设规划室、公务员一室、公务员二室、人才工作室、干部教育室、干部监督室、党员教育室，本部门无独立核算的下属预算单位，部门本级预算即汇总预算。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本部门无独立核算的下属预算单位，部门本级预算即汇总预算。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20年本部门预算收入总计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617.43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万元，支出总计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617.43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20年本部门预算收入总计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617.43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万元，支出总计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617.43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万元。其中：基本支出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448.93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万元，占比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72.71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%，项目支出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168.50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万元，占比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27.29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较上年增加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10.69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万元，增长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1.76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，主要原因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部内人员增加，基本支出增加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三、一般公共预算基本支出情况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2020年本部门一般公共预算基本支出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448.93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万元，其中：人员经费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413.33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万元，主要包括：基本工资、津贴补贴、绩效工资、机关事业单位基本养老保险缴费、医疗保险缴费、其他社会保障缴费、住房公积金、其他工资福利支出、退休费；公用经费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35.6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万元，主要包括：办公费、维修（护）费、会议费、培训费。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20年本部门机关运行经费安排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35.6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万元，主要用于保障机关机构正常运转及正常履职需要的办公费、维修（护）费、会议费、培训费，比上年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10.15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39.88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%，主要原因是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部内有新增人员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20年本部门“三公”经费预算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万元，较上年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减少3.8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减少100%,</w:t>
      </w:r>
      <w:r>
        <w:rPr>
          <w:rFonts w:hint="eastAsia" w:ascii="仿宋" w:hAnsi="仿宋" w:eastAsia="仿宋"/>
          <w:szCs w:val="32"/>
        </w:rPr>
        <w:t>主要原因是由于深入贯彻厉行节约有关精神，持续压减一般性支出，另因仍有部分上年度结转公车运行维护费，本年度暂未安排相关经费。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1.因公出国（境）费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万元；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2.公务用车购置及运行费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万元，其中：公务用车购置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万元，公务用车运行费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  <w:bookmarkStart w:id="0" w:name="_GoBack"/>
      <w:bookmarkEnd w:id="0"/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3.公务接待费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八、</w:t>
      </w:r>
      <w: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国有资产占用情况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截止201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9年末，本部门共有：房屋建筑物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间；车辆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辆，其中：一般公务用车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辆、一般执法执勤用车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辆、特种专业技术用车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辆，其他用车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辆；单位价值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万元以上通用设备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台（套），单位价值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万元以上专用设备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台（套）。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个项目，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112.5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w:t>名词解释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一、财政拨款收入</w:t>
      </w:r>
    </w:p>
    <w:p>
      <w:pPr>
        <w:ind w:firstLine="64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指本级财政当年拨付的资金。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二、事业收入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三、其他收入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四、基本支出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五、项目支出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六、机关运行经费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七、“三公”经费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141568B"/>
    <w:rsid w:val="286771B6"/>
    <w:rsid w:val="537D4091"/>
    <w:rsid w:val="56EF6B23"/>
    <w:rsid w:val="610A70CF"/>
    <w:rsid w:val="67F03B16"/>
    <w:rsid w:val="70BF7006"/>
    <w:rsid w:val="72DD00D9"/>
    <w:rsid w:val="7E1E3E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1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2020-12-14T08:54:28Z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