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color w:val="000000" w:themeColor="text1"/>
          <w:sz w:val="40"/>
        </w:rPr>
      </w:pPr>
    </w:p>
    <w:p>
      <w:pPr>
        <w:rPr>
          <w:rFonts w:ascii="方正小标宋_GBK" w:eastAsia="方正小标宋_GBK"/>
          <w:color w:val="000000" w:themeColor="text1"/>
          <w:sz w:val="40"/>
        </w:rPr>
      </w:pPr>
    </w:p>
    <w:p>
      <w:pPr>
        <w:jc w:val="center"/>
        <w:rPr>
          <w:rFonts w:ascii="方正小标宋简体" w:hAnsi="方正小标宋简体" w:eastAsia="方正小标宋简体" w:cs="方正小标宋简体"/>
          <w:color w:val="000000" w:themeColor="text1"/>
          <w:w w:val="85"/>
          <w:sz w:val="56"/>
        </w:rPr>
      </w:pPr>
      <w:r>
        <w:rPr>
          <w:rFonts w:hint="eastAsia" w:ascii="方正小标宋简体" w:hAnsi="方正小标宋简体" w:eastAsia="方正小标宋简体" w:cs="方正小标宋简体"/>
          <w:color w:val="000000" w:themeColor="text1"/>
          <w:w w:val="85"/>
          <w:sz w:val="56"/>
        </w:rPr>
        <w:t>濮阳市华龙区司法局</w:t>
      </w:r>
    </w:p>
    <w:p>
      <w:pPr>
        <w:jc w:val="center"/>
        <w:rPr>
          <w:rFonts w:ascii="方正小标宋简体" w:hAnsi="方正小标宋简体" w:eastAsia="方正小标宋简体" w:cs="方正小标宋简体"/>
          <w:color w:val="000000" w:themeColor="text1"/>
          <w:spacing w:val="-20"/>
          <w:sz w:val="44"/>
        </w:rPr>
      </w:pPr>
      <w:r>
        <w:rPr>
          <w:rFonts w:hint="eastAsia" w:ascii="方正小标宋简体" w:hAnsi="方正小标宋简体" w:eastAsia="方正小标宋简体" w:cs="方正小标宋简体"/>
          <w:color w:val="000000" w:themeColor="text1"/>
          <w:w w:val="85"/>
          <w:sz w:val="56"/>
        </w:rPr>
        <w:t>2020年部门预算公开说明</w:t>
      </w:r>
    </w:p>
    <w:p>
      <w:pPr>
        <w:jc w:val="center"/>
        <w:rPr>
          <w:rFonts w:ascii="方正小标宋_GBK" w:eastAsia="方正小标宋_GBK"/>
          <w:color w:val="000000" w:themeColor="text1"/>
          <w:sz w:val="40"/>
        </w:rPr>
      </w:pPr>
    </w:p>
    <w:p>
      <w:pPr>
        <w:jc w:val="center"/>
        <w:rPr>
          <w:rFonts w:ascii="方正小标宋_GBK" w:eastAsia="方正小标宋_GBK"/>
          <w:color w:val="000000" w:themeColor="text1"/>
          <w:sz w:val="40"/>
        </w:rPr>
      </w:pPr>
    </w:p>
    <w:p>
      <w:pPr>
        <w:jc w:val="center"/>
        <w:rPr>
          <w:rFonts w:ascii="方正小标宋_GBK" w:eastAsia="方正小标宋_GBK"/>
          <w:color w:val="000000" w:themeColor="text1"/>
          <w:sz w:val="40"/>
        </w:rPr>
      </w:pPr>
    </w:p>
    <w:p>
      <w:pPr>
        <w:jc w:val="center"/>
        <w:rPr>
          <w:rFonts w:ascii="方正小标宋_GBK" w:eastAsia="方正小标宋_GBK"/>
          <w:color w:val="000000" w:themeColor="text1"/>
          <w:sz w:val="40"/>
        </w:rPr>
      </w:pPr>
    </w:p>
    <w:p>
      <w:pPr>
        <w:jc w:val="center"/>
        <w:rPr>
          <w:rFonts w:ascii="方正小标宋_GBK" w:eastAsia="方正小标宋_GBK"/>
          <w:color w:val="000000" w:themeColor="text1"/>
          <w:sz w:val="40"/>
        </w:rPr>
      </w:pPr>
    </w:p>
    <w:p>
      <w:pPr>
        <w:jc w:val="center"/>
        <w:rPr>
          <w:rFonts w:ascii="方正小标宋_GBK" w:eastAsia="方正小标宋_GBK"/>
          <w:color w:val="000000" w:themeColor="text1"/>
          <w:sz w:val="40"/>
        </w:rPr>
      </w:pPr>
    </w:p>
    <w:p>
      <w:pPr>
        <w:jc w:val="center"/>
        <w:rPr>
          <w:rFonts w:ascii="方正小标宋_GBK" w:eastAsia="方正小标宋_GBK"/>
          <w:color w:val="000000" w:themeColor="text1"/>
          <w:sz w:val="40"/>
        </w:rPr>
      </w:pPr>
    </w:p>
    <w:p>
      <w:pPr>
        <w:jc w:val="center"/>
        <w:rPr>
          <w:rFonts w:ascii="方正小标宋_GBK" w:eastAsia="方正小标宋_GBK"/>
          <w:color w:val="000000" w:themeColor="text1"/>
          <w:sz w:val="40"/>
        </w:rPr>
      </w:pPr>
    </w:p>
    <w:p>
      <w:pPr>
        <w:jc w:val="both"/>
        <w:rPr>
          <w:rFonts w:ascii="方正小标宋_GBK" w:eastAsia="方正小标宋_GBK"/>
          <w:color w:val="000000" w:themeColor="text1"/>
          <w:sz w:val="40"/>
        </w:rPr>
      </w:pPr>
    </w:p>
    <w:p>
      <w:pPr>
        <w:jc w:val="center"/>
        <w:rPr>
          <w:rFonts w:ascii="楷体_GB2312" w:eastAsia="楷体_GB2312"/>
          <w:b/>
          <w:color w:val="000000" w:themeColor="text1"/>
          <w:w w:val="90"/>
          <w:sz w:val="40"/>
        </w:rPr>
      </w:pPr>
      <w:r>
        <w:rPr>
          <w:rFonts w:hint="eastAsia" w:ascii="楷体_GB2312" w:eastAsia="楷体_GB2312"/>
          <w:b/>
          <w:color w:val="000000" w:themeColor="text1"/>
          <w:w w:val="90"/>
          <w:sz w:val="40"/>
        </w:rPr>
        <w:t>二</w:t>
      </w:r>
      <w:r>
        <w:rPr>
          <w:rFonts w:hint="eastAsia" w:ascii="宋体" w:hAnsi="宋体" w:cs="宋体"/>
          <w:b/>
          <w:color w:val="000000" w:themeColor="text1"/>
          <w:w w:val="90"/>
          <w:sz w:val="40"/>
        </w:rPr>
        <w:t>〇</w:t>
      </w:r>
      <w:r>
        <w:rPr>
          <w:rFonts w:hint="eastAsia" w:ascii="楷体_GB2312" w:eastAsia="楷体_GB2312"/>
          <w:b/>
          <w:color w:val="000000" w:themeColor="text1"/>
          <w:w w:val="90"/>
          <w:sz w:val="40"/>
        </w:rPr>
        <w:t>二</w:t>
      </w:r>
      <w:r>
        <w:rPr>
          <w:rFonts w:hint="eastAsia" w:ascii="宋体" w:hAnsi="宋体" w:cs="宋体"/>
          <w:b/>
          <w:color w:val="000000" w:themeColor="text1"/>
          <w:w w:val="90"/>
          <w:sz w:val="40"/>
        </w:rPr>
        <w:t>〇</w:t>
      </w:r>
      <w:r>
        <w:rPr>
          <w:rFonts w:hint="eastAsia" w:ascii="楷体_GB2312" w:hAnsi="楷体_GB2312" w:eastAsia="楷体_GB2312" w:cs="楷体_GB2312"/>
          <w:b/>
          <w:color w:val="000000" w:themeColor="text1"/>
          <w:w w:val="90"/>
          <w:sz w:val="40"/>
        </w:rPr>
        <w:t>年六月</w:t>
      </w:r>
    </w:p>
    <w:p>
      <w:pPr>
        <w:widowControl/>
        <w:jc w:val="left"/>
        <w:rPr>
          <w:rFonts w:ascii="黑体" w:hAnsi="黑体" w:eastAsia="黑体" w:cs="宋体"/>
          <w:color w:val="000000" w:themeColor="text1"/>
          <w:kern w:val="0"/>
          <w:sz w:val="44"/>
          <w:szCs w:val="32"/>
        </w:rPr>
      </w:pPr>
      <w:r>
        <w:rPr>
          <w:rFonts w:ascii="黑体" w:hAnsi="黑体" w:eastAsia="黑体"/>
          <w:color w:val="000000" w:themeColor="text1"/>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themeColor="text1"/>
          <w:sz w:val="44"/>
          <w:szCs w:val="32"/>
        </w:rPr>
      </w:pPr>
    </w:p>
    <w:p>
      <w:pPr>
        <w:pStyle w:val="6"/>
        <w:topLinePunct/>
        <w:spacing w:before="0" w:beforeAutospacing="0" w:after="0" w:afterAutospacing="0" w:line="360" w:lineRule="auto"/>
        <w:jc w:val="center"/>
        <w:rPr>
          <w:rFonts w:ascii="黑体" w:hAnsi="黑体" w:eastAsia="黑体"/>
          <w:color w:val="000000" w:themeColor="text1"/>
          <w:sz w:val="44"/>
          <w:szCs w:val="32"/>
        </w:rPr>
      </w:pPr>
      <w:r>
        <w:rPr>
          <w:rFonts w:hint="eastAsia" w:ascii="黑体" w:hAnsi="黑体" w:eastAsia="黑体"/>
          <w:color w:val="000000" w:themeColor="text1"/>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themeColor="text1"/>
          <w:sz w:val="36"/>
          <w:szCs w:val="32"/>
        </w:rPr>
      </w:pPr>
    </w:p>
    <w:p>
      <w:pPr>
        <w:pStyle w:val="6"/>
        <w:overflowPunct w:val="0"/>
        <w:topLinePunct/>
        <w:spacing w:before="0" w:beforeAutospacing="0" w:after="0" w:afterAutospacing="0" w:line="360" w:lineRule="auto"/>
        <w:ind w:firstLine="640"/>
        <w:jc w:val="both"/>
        <w:rPr>
          <w:color w:val="000000" w:themeColor="text1"/>
        </w:rPr>
      </w:pPr>
      <w:r>
        <w:rPr>
          <w:rFonts w:hint="eastAsia" w:ascii="黑体" w:hAnsi="黑体" w:eastAsia="黑体"/>
          <w:color w:val="000000" w:themeColor="text1"/>
          <w:sz w:val="32"/>
          <w:szCs w:val="32"/>
        </w:rPr>
        <w:t>第一部分</w:t>
      </w:r>
      <w:r>
        <w:rPr>
          <w:rFonts w:hint="eastAsia"/>
          <w:color w:val="000000" w:themeColor="text1"/>
          <w:sz w:val="32"/>
          <w:szCs w:val="32"/>
        </w:rPr>
        <w:t xml:space="preserve"> </w:t>
      </w:r>
      <w:r>
        <w:rPr>
          <w:rFonts w:hint="eastAsia" w:ascii="黑体" w:hAnsi="黑体" w:eastAsia="黑体"/>
          <w:color w:val="000000" w:themeColor="text1"/>
          <w:sz w:val="32"/>
          <w:szCs w:val="32"/>
        </w:rPr>
        <w:t>部门概况</w:t>
      </w:r>
      <w:r>
        <w:rPr>
          <w:rFonts w:hint="eastAsia"/>
          <w:color w:val="000000" w:themeColor="text1"/>
          <w:sz w:val="32"/>
          <w:szCs w:val="32"/>
        </w:rPr>
        <w:t> </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一、部门主要职责</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rPr>
      </w:pPr>
      <w:r>
        <w:rPr>
          <w:rFonts w:hint="eastAsia" w:ascii="黑体" w:hAnsi="黑体" w:eastAsia="黑体"/>
          <w:color w:val="000000" w:themeColor="text1"/>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rPr>
      </w:pPr>
      <w:r>
        <w:rPr>
          <w:rFonts w:hint="eastAsia" w:ascii="黑体" w:hAnsi="黑体" w:eastAsia="黑体"/>
          <w:color w:val="000000" w:themeColor="text1"/>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rPr>
      </w:pPr>
    </w:p>
    <w:p>
      <w:pPr>
        <w:pStyle w:val="6"/>
        <w:overflowPunct w:val="0"/>
        <w:topLinePunct/>
        <w:spacing w:before="0" w:beforeAutospacing="0" w:after="0" w:afterAutospacing="0" w:line="360" w:lineRule="auto"/>
        <w:ind w:firstLine="640"/>
        <w:jc w:val="both"/>
        <w:rPr>
          <w:color w:val="000000" w:themeColor="text1"/>
        </w:rPr>
      </w:pPr>
      <w:r>
        <w:rPr>
          <w:rFonts w:hint="eastAsia" w:ascii="黑体" w:hAnsi="黑体" w:eastAsia="黑体"/>
          <w:color w:val="000000" w:themeColor="text1"/>
          <w:sz w:val="32"/>
          <w:szCs w:val="32"/>
        </w:rPr>
        <w:t>附件：濮阳市华龙区司法局2020年部门预算表</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一、部门收支总表</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二、部门收入总表</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三、部门支出总表</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四、财政拨款收支总表</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五、一般公共预算支出表</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六、一般公共预算基本支出表</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七、一般公共预算“三公”经费支出表</w:t>
      </w:r>
    </w:p>
    <w:p>
      <w:pPr>
        <w:pStyle w:val="6"/>
        <w:overflowPunct w:val="0"/>
        <w:topLinePunct/>
        <w:spacing w:before="0" w:beforeAutospacing="0" w:after="0" w:afterAutospacing="0" w:line="360" w:lineRule="auto"/>
        <w:ind w:firstLine="640"/>
        <w:rPr>
          <w:color w:val="000000" w:themeColor="text1"/>
        </w:rPr>
      </w:pPr>
      <w:r>
        <w:rPr>
          <w:rFonts w:hint="eastAsia" w:ascii="仿宋_GB2312" w:eastAsia="仿宋_GB2312"/>
          <w:color w:val="000000" w:themeColor="text1"/>
          <w:sz w:val="32"/>
          <w:szCs w:val="32"/>
        </w:rPr>
        <w:t>八、政府性基金预算支出表</w:t>
      </w:r>
    </w:p>
    <w:p>
      <w:pPr>
        <w:ind w:firstLine="640" w:firstLineChars="200"/>
        <w:rPr>
          <w:rFonts w:ascii="黑体" w:hAnsi="黑体" w:eastAsia="黑体"/>
          <w:color w:val="000000" w:themeColor="text1"/>
          <w:szCs w:val="32"/>
        </w:rPr>
      </w:pPr>
    </w:p>
    <w:p>
      <w:pPr>
        <w:rPr>
          <w:rFonts w:ascii="黑体" w:hAnsi="黑体" w:eastAsia="黑体"/>
          <w:color w:val="000000" w:themeColor="text1"/>
          <w:szCs w:val="32"/>
        </w:rPr>
      </w:pPr>
      <w:r>
        <w:rPr>
          <w:rFonts w:ascii="黑体" w:hAnsi="黑体" w:eastAsia="黑体"/>
          <w:color w:val="000000" w:themeColor="text1"/>
          <w:szCs w:val="32"/>
        </w:rPr>
        <w:br w:type="page"/>
      </w:r>
    </w:p>
    <w:p>
      <w:pPr>
        <w:ind w:firstLine="640" w:firstLineChars="200"/>
        <w:rPr>
          <w:rFonts w:ascii="黑体" w:hAnsi="黑体" w:eastAsia="黑体"/>
          <w:color w:val="000000" w:themeColor="text1"/>
          <w:szCs w:val="32"/>
        </w:rPr>
      </w:pPr>
    </w:p>
    <w:p>
      <w:pPr>
        <w:pStyle w:val="6"/>
        <w:topLinePunct/>
        <w:spacing w:before="0" w:beforeAutospacing="0" w:after="0" w:afterAutospacing="0" w:line="360" w:lineRule="auto"/>
        <w:jc w:val="center"/>
        <w:rPr>
          <w:rFonts w:ascii="Calibri" w:hAnsi="Calibri"/>
          <w:color w:val="000000" w:themeColor="text1"/>
          <w:sz w:val="22"/>
          <w:szCs w:val="21"/>
        </w:rPr>
      </w:pPr>
      <w:r>
        <w:rPr>
          <w:rFonts w:hint="eastAsia" w:ascii="黑体" w:hAnsi="黑体" w:eastAsia="黑体"/>
          <w:color w:val="000000" w:themeColor="text1"/>
          <w:sz w:val="36"/>
          <w:szCs w:val="32"/>
        </w:rPr>
        <w:t>第一部分</w:t>
      </w:r>
    </w:p>
    <w:p>
      <w:pPr>
        <w:pStyle w:val="6"/>
        <w:topLinePunct/>
        <w:spacing w:before="0" w:beforeAutospacing="0" w:after="0" w:afterAutospacing="0" w:line="360" w:lineRule="auto"/>
        <w:jc w:val="center"/>
        <w:rPr>
          <w:rFonts w:ascii="Calibri" w:hAnsi="Calibri"/>
          <w:color w:val="000000" w:themeColor="text1"/>
          <w:sz w:val="22"/>
          <w:szCs w:val="21"/>
        </w:rPr>
      </w:pPr>
      <w:r>
        <w:rPr>
          <w:rFonts w:hint="eastAsia" w:ascii="黑体" w:hAnsi="黑体" w:eastAsia="黑体"/>
          <w:color w:val="000000" w:themeColor="text1"/>
          <w:sz w:val="36"/>
          <w:szCs w:val="32"/>
        </w:rPr>
        <w:t>部门概况</w:t>
      </w:r>
    </w:p>
    <w:p>
      <w:pPr>
        <w:ind w:firstLine="640" w:firstLineChars="200"/>
        <w:rPr>
          <w:rFonts w:ascii="黑体" w:hAnsi="黑体" w:eastAsia="黑体"/>
          <w:color w:val="000000" w:themeColor="text1"/>
          <w:szCs w:val="32"/>
        </w:rPr>
      </w:pPr>
      <w:r>
        <w:rPr>
          <w:rFonts w:ascii="黑体" w:hAnsi="黑体" w:eastAsia="黑体"/>
          <w:color w:val="000000" w:themeColor="text1"/>
          <w:szCs w:val="32"/>
        </w:rPr>
        <w:t> </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一、部门主要职责</w:t>
      </w:r>
    </w:p>
    <w:p>
      <w:pPr>
        <w:widowControl/>
        <w:adjustRightInd w:val="0"/>
        <w:snapToGrid w:val="0"/>
        <w:spacing w:line="360" w:lineRule="auto"/>
        <w:ind w:firstLine="640" w:firstLineChars="200"/>
        <w:jc w:val="left"/>
        <w:rPr>
          <w:rFonts w:ascii="仿宋" w:hAnsi="仿宋" w:eastAsia="仿宋" w:cs="宋体"/>
          <w:color w:val="000000" w:themeColor="text1"/>
          <w:szCs w:val="32"/>
        </w:rPr>
      </w:pPr>
      <w:r>
        <w:rPr>
          <w:rFonts w:hint="eastAsia" w:ascii="仿宋" w:hAnsi="仿宋" w:eastAsia="仿宋" w:cs="宋体"/>
          <w:color w:val="000000" w:themeColor="text1"/>
          <w:kern w:val="0"/>
          <w:szCs w:val="32"/>
        </w:rPr>
        <w:t>濮阳市华龙区司法局主要职责：</w:t>
      </w:r>
      <w:r>
        <w:rPr>
          <w:rFonts w:hint="eastAsia" w:ascii="仿宋" w:hAnsi="仿宋" w:eastAsia="仿宋" w:cs="宋体"/>
          <w:color w:val="000000" w:themeColor="text1"/>
          <w:kern w:val="0"/>
          <w:szCs w:val="32"/>
        </w:rPr>
        <w:br w:type="textWrapping"/>
      </w:r>
      <w:r>
        <w:rPr>
          <w:rFonts w:hint="eastAsia" w:ascii="宋体" w:hAnsi="宋体" w:eastAsia="仿宋" w:cs="宋体"/>
          <w:color w:val="000000" w:themeColor="text1"/>
          <w:kern w:val="0"/>
          <w:szCs w:val="32"/>
        </w:rPr>
        <w:t> </w:t>
      </w:r>
      <w:r>
        <w:rPr>
          <w:rFonts w:hint="eastAsia" w:ascii="仿宋" w:hAnsi="仿宋" w:eastAsia="仿宋" w:cs="宋体"/>
          <w:color w:val="000000" w:themeColor="text1"/>
          <w:kern w:val="0"/>
          <w:szCs w:val="32"/>
        </w:rPr>
        <w:t xml:space="preserve"> （一）</w:t>
      </w:r>
      <w:r>
        <w:rPr>
          <w:rFonts w:hint="eastAsia" w:ascii="仿宋" w:hAnsi="仿宋" w:eastAsia="仿宋" w:cs="宋体"/>
          <w:color w:val="000000" w:themeColor="text1"/>
          <w:szCs w:val="32"/>
        </w:rPr>
        <w:t>贯彻落实国家、省、市司法行政工作方针、政策，  组织起草有关法律、法规和政策的实施意见；拟定全区司法行政工作的发展规划并组织实施。</w:t>
      </w:r>
      <w:r>
        <w:rPr>
          <w:rFonts w:hint="eastAsia" w:ascii="仿宋" w:hAnsi="仿宋" w:eastAsia="仿宋" w:cs="宋体"/>
          <w:color w:val="000000" w:themeColor="text1"/>
          <w:kern w:val="0"/>
          <w:szCs w:val="32"/>
        </w:rPr>
        <w:br w:type="textWrapping"/>
      </w:r>
      <w:r>
        <w:rPr>
          <w:rFonts w:hint="eastAsia" w:ascii="宋体" w:hAnsi="宋体" w:eastAsia="仿宋" w:cs="宋体"/>
          <w:color w:val="000000" w:themeColor="text1"/>
          <w:kern w:val="0"/>
          <w:szCs w:val="32"/>
        </w:rPr>
        <w:t> </w:t>
      </w:r>
      <w:r>
        <w:rPr>
          <w:rFonts w:hint="eastAsia" w:ascii="仿宋" w:hAnsi="仿宋" w:eastAsia="仿宋" w:cs="宋体"/>
          <w:color w:val="000000" w:themeColor="text1"/>
          <w:kern w:val="0"/>
          <w:szCs w:val="32"/>
        </w:rPr>
        <w:t xml:space="preserve"> （二）</w:t>
      </w:r>
      <w:r>
        <w:rPr>
          <w:rFonts w:hint="eastAsia" w:ascii="仿宋" w:hAnsi="仿宋" w:eastAsia="仿宋" w:cs="宋体"/>
          <w:color w:val="000000" w:themeColor="text1"/>
          <w:szCs w:val="32"/>
        </w:rPr>
        <w:t>拟定全区法制宣传教育和依法治理工作规划并组织实施，指导全区各行业法制宣传教育和依法治理工作，指导协调督促考核法治华龙创建工作。</w:t>
      </w:r>
    </w:p>
    <w:p>
      <w:pPr>
        <w:widowControl/>
        <w:adjustRightInd w:val="0"/>
        <w:snapToGrid w:val="0"/>
        <w:spacing w:line="360" w:lineRule="auto"/>
        <w:jc w:val="left"/>
        <w:rPr>
          <w:rFonts w:ascii="仿宋" w:hAnsi="仿宋" w:eastAsia="仿宋" w:cs="宋体"/>
          <w:color w:val="000000" w:themeColor="text1"/>
          <w:szCs w:val="32"/>
        </w:rPr>
      </w:pPr>
      <w:r>
        <w:rPr>
          <w:rFonts w:hint="eastAsia" w:ascii="宋体" w:hAnsi="宋体" w:eastAsia="仿宋" w:cs="宋体"/>
          <w:color w:val="000000" w:themeColor="text1"/>
          <w:kern w:val="0"/>
          <w:szCs w:val="32"/>
        </w:rPr>
        <w:t> </w:t>
      </w:r>
      <w:r>
        <w:rPr>
          <w:rFonts w:hint="eastAsia" w:ascii="仿宋" w:hAnsi="仿宋" w:eastAsia="仿宋" w:cs="宋体"/>
          <w:color w:val="000000" w:themeColor="text1"/>
          <w:kern w:val="0"/>
          <w:szCs w:val="32"/>
        </w:rPr>
        <w:t xml:space="preserve"> （三）</w:t>
      </w:r>
      <w:r>
        <w:rPr>
          <w:rFonts w:hint="eastAsia" w:ascii="仿宋" w:hAnsi="仿宋" w:eastAsia="仿宋" w:cs="宋体"/>
          <w:color w:val="000000" w:themeColor="text1"/>
          <w:szCs w:val="32"/>
        </w:rPr>
        <w:t>负责指导全区司法行政系统的新闻宣传工作。</w:t>
      </w:r>
    </w:p>
    <w:p>
      <w:pPr>
        <w:spacing w:line="360" w:lineRule="auto"/>
        <w:ind w:firstLine="480" w:firstLineChars="150"/>
        <w:jc w:val="left"/>
        <w:rPr>
          <w:rFonts w:ascii="仿宋" w:hAnsi="仿宋" w:eastAsia="仿宋" w:cs="宋体"/>
          <w:color w:val="000000" w:themeColor="text1"/>
          <w:szCs w:val="32"/>
        </w:rPr>
      </w:pPr>
      <w:r>
        <w:rPr>
          <w:rFonts w:hint="eastAsia" w:ascii="仿宋" w:hAnsi="仿宋" w:eastAsia="仿宋" w:cs="宋体"/>
          <w:color w:val="000000" w:themeColor="text1"/>
          <w:kern w:val="0"/>
          <w:szCs w:val="32"/>
        </w:rPr>
        <w:t>（四）</w:t>
      </w:r>
      <w:r>
        <w:rPr>
          <w:rFonts w:hint="eastAsia" w:ascii="仿宋" w:hAnsi="仿宋" w:eastAsia="仿宋" w:cs="宋体"/>
          <w:color w:val="000000" w:themeColor="text1"/>
          <w:szCs w:val="32"/>
        </w:rPr>
        <w:t>监督指导全区律师工作。</w:t>
      </w:r>
      <w:r>
        <w:rPr>
          <w:rFonts w:hint="eastAsia" w:ascii="仿宋" w:hAnsi="仿宋" w:eastAsia="仿宋" w:cs="宋体"/>
          <w:color w:val="000000" w:themeColor="text1"/>
          <w:kern w:val="0"/>
          <w:szCs w:val="32"/>
        </w:rPr>
        <w:br w:type="textWrapping"/>
      </w:r>
      <w:r>
        <w:rPr>
          <w:rFonts w:hint="eastAsia" w:ascii="宋体" w:hAnsi="宋体" w:eastAsia="仿宋" w:cs="宋体"/>
          <w:color w:val="000000" w:themeColor="text1"/>
          <w:kern w:val="0"/>
          <w:szCs w:val="32"/>
        </w:rPr>
        <w:t> </w:t>
      </w:r>
      <w:r>
        <w:rPr>
          <w:rFonts w:hint="eastAsia" w:ascii="仿宋" w:hAnsi="仿宋" w:eastAsia="仿宋" w:cs="宋体"/>
          <w:color w:val="000000" w:themeColor="text1"/>
          <w:kern w:val="0"/>
          <w:szCs w:val="32"/>
        </w:rPr>
        <w:t xml:space="preserve"> （五）</w:t>
      </w:r>
      <w:r>
        <w:rPr>
          <w:rFonts w:hint="eastAsia" w:ascii="仿宋" w:hAnsi="仿宋" w:eastAsia="仿宋" w:cs="宋体"/>
          <w:color w:val="000000" w:themeColor="text1"/>
          <w:szCs w:val="32"/>
        </w:rPr>
        <w:t>监督管理全区法律援助工作，负责为人民需要代理，为公民提供法律援助服务。</w:t>
      </w:r>
    </w:p>
    <w:p>
      <w:pPr>
        <w:spacing w:line="360" w:lineRule="auto"/>
        <w:ind w:firstLine="480" w:firstLineChars="150"/>
        <w:jc w:val="left"/>
        <w:rPr>
          <w:rFonts w:ascii="仿宋" w:hAnsi="仿宋" w:eastAsia="仿宋" w:cs="宋体"/>
          <w:color w:val="000000" w:themeColor="text1"/>
          <w:szCs w:val="32"/>
        </w:rPr>
      </w:pPr>
      <w:r>
        <w:rPr>
          <w:rFonts w:hint="eastAsia" w:ascii="仿宋" w:hAnsi="仿宋" w:eastAsia="仿宋" w:cs="宋体"/>
          <w:color w:val="000000" w:themeColor="text1"/>
          <w:kern w:val="0"/>
          <w:szCs w:val="32"/>
        </w:rPr>
        <w:t>（六）</w:t>
      </w:r>
      <w:r>
        <w:rPr>
          <w:rFonts w:hint="eastAsia" w:ascii="仿宋" w:hAnsi="仿宋" w:eastAsia="仿宋" w:cs="宋体"/>
          <w:color w:val="000000" w:themeColor="text1"/>
          <w:szCs w:val="32"/>
        </w:rPr>
        <w:t>监督指导全区司法所建设和人民调解、基层法律服务、帮教安置工作。</w:t>
      </w:r>
    </w:p>
    <w:p>
      <w:pPr>
        <w:spacing w:line="360" w:lineRule="auto"/>
        <w:ind w:firstLine="480" w:firstLineChars="150"/>
        <w:jc w:val="left"/>
        <w:rPr>
          <w:rFonts w:ascii="仿宋" w:hAnsi="仿宋" w:eastAsia="仿宋" w:cs="宋体"/>
          <w:color w:val="000000" w:themeColor="text1"/>
          <w:szCs w:val="32"/>
        </w:rPr>
      </w:pPr>
      <w:r>
        <w:rPr>
          <w:rFonts w:hint="eastAsia" w:ascii="仿宋" w:hAnsi="仿宋" w:eastAsia="仿宋" w:cs="宋体"/>
          <w:color w:val="000000" w:themeColor="text1"/>
          <w:kern w:val="0"/>
          <w:szCs w:val="32"/>
        </w:rPr>
        <w:t>（七）</w:t>
      </w:r>
      <w:r>
        <w:rPr>
          <w:rFonts w:hint="eastAsia" w:ascii="仿宋" w:hAnsi="仿宋" w:eastAsia="仿宋" w:cs="宋体"/>
          <w:color w:val="000000" w:themeColor="text1"/>
          <w:szCs w:val="32"/>
        </w:rPr>
        <w:t>监督管理全区社区矫正工作，指导开展社区矫正社会工作和志愿服务。</w:t>
      </w:r>
    </w:p>
    <w:p>
      <w:pPr>
        <w:spacing w:line="360" w:lineRule="auto"/>
        <w:ind w:firstLine="480" w:firstLineChars="150"/>
        <w:jc w:val="left"/>
        <w:rPr>
          <w:rFonts w:ascii="仿宋" w:hAnsi="仿宋" w:eastAsia="仿宋" w:cs="宋体"/>
          <w:color w:val="000000" w:themeColor="text1"/>
          <w:kern w:val="0"/>
          <w:szCs w:val="32"/>
        </w:rPr>
      </w:pPr>
      <w:r>
        <w:rPr>
          <w:rFonts w:hint="eastAsia" w:ascii="仿宋" w:hAnsi="仿宋" w:eastAsia="仿宋" w:cs="宋体"/>
          <w:color w:val="000000" w:themeColor="text1"/>
          <w:kern w:val="0"/>
          <w:szCs w:val="32"/>
        </w:rPr>
        <w:t>（八）</w:t>
      </w:r>
      <w:r>
        <w:rPr>
          <w:rFonts w:hint="eastAsia" w:ascii="仿宋" w:hAnsi="仿宋" w:eastAsia="仿宋" w:cs="宋体"/>
          <w:color w:val="000000" w:themeColor="text1"/>
          <w:szCs w:val="32"/>
        </w:rPr>
        <w:t>指导监督全区司法行政系统计划财务工作，负责直属单位的内部审计工作。</w:t>
      </w:r>
      <w:r>
        <w:rPr>
          <w:rFonts w:hint="eastAsia" w:ascii="宋体" w:hAnsi="宋体" w:eastAsia="仿宋" w:cs="宋体"/>
          <w:color w:val="000000" w:themeColor="text1"/>
          <w:kern w:val="0"/>
          <w:szCs w:val="32"/>
        </w:rPr>
        <w:t> </w:t>
      </w:r>
      <w:r>
        <w:rPr>
          <w:rFonts w:hint="eastAsia" w:ascii="仿宋" w:hAnsi="仿宋" w:eastAsia="仿宋" w:cs="宋体"/>
          <w:color w:val="000000" w:themeColor="text1"/>
          <w:kern w:val="0"/>
          <w:szCs w:val="32"/>
        </w:rPr>
        <w:t xml:space="preserve"> </w:t>
      </w:r>
      <w:r>
        <w:rPr>
          <w:rFonts w:hint="eastAsia" w:ascii="宋体" w:hAnsi="宋体" w:eastAsia="仿宋" w:cs="宋体"/>
          <w:color w:val="000000" w:themeColor="text1"/>
          <w:kern w:val="0"/>
          <w:szCs w:val="32"/>
        </w:rPr>
        <w:t> </w:t>
      </w:r>
      <w:r>
        <w:rPr>
          <w:rFonts w:hint="eastAsia" w:ascii="仿宋" w:hAnsi="仿宋" w:eastAsia="仿宋" w:cs="宋体"/>
          <w:color w:val="000000" w:themeColor="text1"/>
          <w:kern w:val="0"/>
          <w:szCs w:val="32"/>
        </w:rPr>
        <w:t xml:space="preserve"> </w:t>
      </w:r>
      <w:r>
        <w:rPr>
          <w:rFonts w:hint="eastAsia" w:ascii="宋体" w:hAnsi="宋体" w:eastAsia="仿宋" w:cs="宋体"/>
          <w:color w:val="000000" w:themeColor="text1"/>
          <w:kern w:val="0"/>
          <w:szCs w:val="32"/>
        </w:rPr>
        <w:t> </w:t>
      </w:r>
      <w:r>
        <w:rPr>
          <w:rFonts w:hint="eastAsia" w:ascii="仿宋" w:hAnsi="仿宋" w:eastAsia="仿宋" w:cs="宋体"/>
          <w:color w:val="000000" w:themeColor="text1"/>
          <w:kern w:val="0"/>
          <w:szCs w:val="32"/>
        </w:rPr>
        <w:t xml:space="preserve"> </w:t>
      </w:r>
      <w:r>
        <w:rPr>
          <w:rFonts w:hint="eastAsia" w:ascii="宋体" w:hAnsi="宋体" w:eastAsia="仿宋" w:cs="宋体"/>
          <w:color w:val="000000" w:themeColor="text1"/>
          <w:kern w:val="0"/>
          <w:szCs w:val="32"/>
        </w:rPr>
        <w:t>  </w:t>
      </w:r>
    </w:p>
    <w:p>
      <w:pPr>
        <w:ind w:firstLine="640" w:firstLineChars="200"/>
        <w:rPr>
          <w:rFonts w:hint="eastAsia" w:ascii="仿宋" w:hAnsi="仿宋" w:eastAsia="仿宋"/>
          <w:color w:val="000000" w:themeColor="text1"/>
          <w:szCs w:val="32"/>
        </w:rPr>
      </w:pPr>
      <w:r>
        <w:rPr>
          <w:rFonts w:hint="eastAsia" w:ascii="仿宋" w:hAnsi="仿宋" w:eastAsia="仿宋" w:cs="宋体"/>
          <w:color w:val="000000" w:themeColor="text1"/>
          <w:kern w:val="0"/>
          <w:szCs w:val="32"/>
        </w:rPr>
        <w:t>（九）</w:t>
      </w:r>
      <w:r>
        <w:rPr>
          <w:rFonts w:hint="eastAsia" w:ascii="仿宋" w:hAnsi="仿宋" w:eastAsia="仿宋" w:cs="宋体"/>
          <w:color w:val="000000" w:themeColor="text1"/>
          <w:szCs w:val="32"/>
        </w:rPr>
        <w:t>指导、监督全区司法行政系统队伍建设和思想作风、工作作风建设。</w:t>
      </w:r>
      <w:r>
        <w:rPr>
          <w:rFonts w:hint="eastAsia" w:ascii="仿宋" w:hAnsi="仿宋" w:eastAsia="仿宋" w:cs="宋体"/>
          <w:color w:val="000000" w:themeColor="text1"/>
          <w:kern w:val="0"/>
          <w:szCs w:val="32"/>
        </w:rPr>
        <w:br w:type="textWrapping"/>
      </w:r>
      <w:r>
        <w:rPr>
          <w:rFonts w:hint="eastAsia" w:ascii="宋体" w:hAnsi="宋体" w:eastAsia="仿宋" w:cs="宋体"/>
          <w:color w:val="000000" w:themeColor="text1"/>
          <w:kern w:val="0"/>
          <w:szCs w:val="32"/>
        </w:rPr>
        <w:t> </w:t>
      </w:r>
      <w:r>
        <w:rPr>
          <w:rFonts w:hint="eastAsia" w:ascii="仿宋" w:hAnsi="仿宋" w:eastAsia="仿宋" w:cs="宋体"/>
          <w:color w:val="000000" w:themeColor="text1"/>
          <w:kern w:val="0"/>
          <w:szCs w:val="32"/>
        </w:rPr>
        <w:t xml:space="preserve">  （十）</w:t>
      </w:r>
      <w:r>
        <w:rPr>
          <w:rFonts w:hint="eastAsia" w:ascii="仿宋" w:hAnsi="仿宋" w:eastAsia="仿宋" w:cs="宋体"/>
          <w:color w:val="000000" w:themeColor="text1"/>
          <w:szCs w:val="32"/>
        </w:rPr>
        <w:t>承办区政府交办的其他事项。</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二、机构设置情况</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根据工作职责及实际工作需要，司法局部门内设</w:t>
      </w:r>
      <w:r>
        <w:rPr>
          <w:rFonts w:hint="eastAsia" w:ascii="仿宋" w:hAnsi="仿宋" w:eastAsia="仿宋" w:cs="宋体"/>
          <w:color w:val="000000" w:themeColor="text1"/>
          <w:szCs w:val="32"/>
        </w:rPr>
        <w:t>办公室（法制室）、宣传教育股、律师管理股、基层工作股、社区矫正执法大队、政治部，另设有下属事业单位华龙区法律援助中心</w:t>
      </w:r>
      <w:r>
        <w:rPr>
          <w:rFonts w:hint="eastAsia" w:ascii="仿宋" w:hAnsi="仿宋" w:eastAsia="仿宋"/>
          <w:color w:val="000000" w:themeColor="text1"/>
          <w:szCs w:val="32"/>
        </w:rPr>
        <w:t>等7个机构，本部门无独立核算的下属预算单位，部门本级预算即汇总预算。</w:t>
      </w:r>
    </w:p>
    <w:p>
      <w:pPr>
        <w:ind w:firstLine="640" w:firstLineChars="200"/>
        <w:rPr>
          <w:rFonts w:ascii="仿宋" w:hAnsi="仿宋" w:eastAsia="仿宋"/>
          <w:color w:val="000000" w:themeColor="text1"/>
          <w:szCs w:val="32"/>
        </w:rPr>
      </w:pPr>
    </w:p>
    <w:p>
      <w:pPr>
        <w:ind w:firstLine="640" w:firstLineChars="200"/>
        <w:rPr>
          <w:rFonts w:ascii="黑体" w:hAnsi="黑体" w:eastAsia="黑体"/>
          <w:color w:val="000000" w:themeColor="text1"/>
          <w:szCs w:val="32"/>
        </w:rPr>
      </w:pPr>
    </w:p>
    <w:p>
      <w:pPr>
        <w:pStyle w:val="6"/>
        <w:topLinePunct/>
        <w:spacing w:before="0" w:beforeAutospacing="0" w:after="0" w:afterAutospacing="0" w:line="360" w:lineRule="auto"/>
        <w:jc w:val="center"/>
        <w:rPr>
          <w:rFonts w:ascii="Calibri" w:hAnsi="Calibri"/>
          <w:color w:val="000000" w:themeColor="text1"/>
          <w:sz w:val="22"/>
          <w:szCs w:val="21"/>
        </w:rPr>
      </w:pPr>
      <w:r>
        <w:rPr>
          <w:rFonts w:hint="eastAsia" w:ascii="黑体" w:hAnsi="黑体" w:eastAsia="黑体"/>
          <w:color w:val="000000" w:themeColor="text1"/>
          <w:sz w:val="36"/>
          <w:szCs w:val="32"/>
        </w:rPr>
        <w:t>第二部分</w:t>
      </w:r>
    </w:p>
    <w:p>
      <w:pPr>
        <w:pStyle w:val="6"/>
        <w:topLinePunct/>
        <w:spacing w:before="0" w:beforeAutospacing="0" w:after="0" w:afterAutospacing="0" w:line="360" w:lineRule="auto"/>
        <w:jc w:val="center"/>
        <w:rPr>
          <w:rFonts w:ascii="Calibri" w:hAnsi="Calibri"/>
          <w:color w:val="000000" w:themeColor="text1"/>
          <w:sz w:val="22"/>
          <w:szCs w:val="21"/>
        </w:rPr>
      </w:pPr>
      <w:r>
        <w:rPr>
          <w:rFonts w:hint="eastAsia" w:ascii="黑体" w:hAnsi="黑体" w:eastAsia="黑体"/>
          <w:color w:val="000000" w:themeColor="text1"/>
          <w:sz w:val="36"/>
          <w:szCs w:val="32"/>
        </w:rPr>
        <w:t>2020年部门预算情况说明</w:t>
      </w:r>
    </w:p>
    <w:p>
      <w:pPr>
        <w:ind w:firstLine="640" w:firstLineChars="200"/>
        <w:rPr>
          <w:rFonts w:ascii="华文仿宋" w:hAnsi="华文仿宋" w:eastAsia="华文仿宋"/>
          <w:color w:val="000000" w:themeColor="text1"/>
          <w:szCs w:val="32"/>
        </w:rPr>
      </w:pP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一、本级预算和所属单位预算在内的汇总预算总体情况</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本部门无独立核算的下属预算单位，部门本级预算即总预算。</w:t>
      </w:r>
      <w:r>
        <w:rPr>
          <w:rFonts w:ascii="仿宋" w:hAnsi="仿宋" w:eastAsia="仿宋"/>
          <w:color w:val="000000" w:themeColor="text1"/>
          <w:szCs w:val="32"/>
        </w:rPr>
        <w:t>20</w:t>
      </w:r>
      <w:r>
        <w:rPr>
          <w:rFonts w:hint="eastAsia" w:ascii="仿宋" w:hAnsi="仿宋" w:eastAsia="仿宋"/>
          <w:color w:val="000000" w:themeColor="text1"/>
          <w:szCs w:val="32"/>
        </w:rPr>
        <w:t>20年本部门预算收入总计518.77万元，支出总计518.77万元。</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二、部门预算收支增减变动情况</w:t>
      </w:r>
    </w:p>
    <w:p>
      <w:pPr>
        <w:ind w:firstLine="640" w:firstLineChars="200"/>
        <w:rPr>
          <w:rFonts w:ascii="仿宋" w:hAnsi="仿宋" w:eastAsia="仿宋"/>
          <w:color w:val="000000" w:themeColor="text1"/>
          <w:szCs w:val="32"/>
        </w:rPr>
      </w:pPr>
      <w:r>
        <w:rPr>
          <w:rFonts w:ascii="仿宋" w:hAnsi="仿宋" w:eastAsia="仿宋"/>
          <w:color w:val="000000" w:themeColor="text1"/>
          <w:szCs w:val="32"/>
        </w:rPr>
        <w:t>20</w:t>
      </w:r>
      <w:r>
        <w:rPr>
          <w:rFonts w:hint="eastAsia" w:ascii="仿宋" w:hAnsi="仿宋" w:eastAsia="仿宋"/>
          <w:color w:val="000000" w:themeColor="text1"/>
          <w:szCs w:val="32"/>
        </w:rPr>
        <w:t>20年本部门预算收入总计518.77万元，支出总计518.77万元。其中：基本支出367.2万元，占比70.8%，项目支出151.57万元，占比29.2%。</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2020年本部门预算</w:t>
      </w:r>
      <w:r>
        <w:rPr>
          <w:rFonts w:hint="eastAsia" w:ascii="仿宋" w:hAnsi="仿宋" w:eastAsia="仿宋" w:cs="仿宋"/>
          <w:sz w:val="32"/>
          <w:szCs w:val="32"/>
          <w:lang w:val="en-US" w:eastAsia="zh-CN"/>
        </w:rPr>
        <w:t>收入和支出均</w:t>
      </w:r>
      <w:r>
        <w:rPr>
          <w:rFonts w:hint="eastAsia" w:ascii="仿宋" w:hAnsi="仿宋" w:eastAsia="仿宋"/>
          <w:color w:val="000000" w:themeColor="text1"/>
          <w:szCs w:val="32"/>
        </w:rPr>
        <w:t>较上年增加1.79万元，增长0.35</w:t>
      </w:r>
      <w:r>
        <w:rPr>
          <w:rFonts w:ascii="仿宋" w:hAnsi="仿宋" w:eastAsia="仿宋"/>
          <w:color w:val="000000" w:themeColor="text1"/>
          <w:szCs w:val="32"/>
        </w:rPr>
        <w:t>%</w:t>
      </w:r>
      <w:r>
        <w:rPr>
          <w:rFonts w:hint="eastAsia" w:ascii="仿宋" w:hAnsi="仿宋" w:eastAsia="仿宋"/>
          <w:color w:val="000000" w:themeColor="text1"/>
          <w:szCs w:val="32"/>
        </w:rPr>
        <w:t>，主要原因人员工资标准的调整和由此带来的各项社会保险缴存基数的提高，以及实际工作需要带来的项目支出变动调整，2020年司法局调入人员增加。</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三、一般公共预算基本支出情况</w:t>
      </w:r>
    </w:p>
    <w:p>
      <w:pPr>
        <w:ind w:firstLine="640" w:firstLineChars="200"/>
        <w:rPr>
          <w:rFonts w:hint="eastAsia" w:ascii="仿宋" w:hAnsi="仿宋" w:eastAsia="仿宋"/>
          <w:color w:val="000000" w:themeColor="text1"/>
          <w:szCs w:val="32"/>
        </w:rPr>
      </w:pPr>
      <w:r>
        <w:rPr>
          <w:rFonts w:hint="eastAsia" w:ascii="仿宋" w:hAnsi="仿宋" w:eastAsia="仿宋"/>
          <w:color w:val="000000" w:themeColor="text1"/>
          <w:szCs w:val="32"/>
        </w:rPr>
        <w:t>2020年本部门一般公共预算基本支出367.2万元，其中：人员经费351.2万元，主要包括：基本工资、津贴补贴、绩效工资、机关事业单位基本养老保险缴费、医疗保险缴费、其他社会保障缴费、住房公积金、退休费、</w:t>
      </w:r>
      <w:r>
        <w:rPr>
          <w:rFonts w:hint="eastAsia" w:ascii="仿宋" w:hAnsi="仿宋" w:eastAsia="仿宋"/>
          <w:color w:val="000000" w:themeColor="text1"/>
          <w:szCs w:val="32"/>
          <w:lang w:val="en-US" w:eastAsia="zh-CN"/>
        </w:rPr>
        <w:t>抚恤金</w:t>
      </w:r>
      <w:r>
        <w:rPr>
          <w:rFonts w:hint="eastAsia" w:ascii="仿宋" w:hAnsi="仿宋" w:eastAsia="仿宋"/>
          <w:color w:val="000000" w:themeColor="text1"/>
          <w:szCs w:val="32"/>
        </w:rPr>
        <w:t>；公用经费16万元，主要包括：办公费、会议费、培训费、公务用车运行维护费</w:t>
      </w:r>
      <w:r>
        <w:rPr>
          <w:rFonts w:hint="eastAsia" w:ascii="仿宋" w:hAnsi="仿宋" w:eastAsia="仿宋"/>
          <w:color w:val="000000" w:themeColor="text1"/>
          <w:szCs w:val="32"/>
          <w:lang w:val="en-US" w:eastAsia="zh-CN"/>
        </w:rPr>
        <w:t>等</w:t>
      </w:r>
      <w:r>
        <w:rPr>
          <w:rFonts w:hint="eastAsia" w:ascii="仿宋" w:hAnsi="仿宋" w:eastAsia="仿宋"/>
          <w:color w:val="000000" w:themeColor="text1"/>
          <w:szCs w:val="32"/>
        </w:rPr>
        <w:t>。</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四、机关运行经费安排情况</w:t>
      </w:r>
    </w:p>
    <w:p>
      <w:pPr>
        <w:ind w:firstLine="640" w:firstLineChars="200"/>
        <w:rPr>
          <w:rFonts w:ascii="仿宋" w:hAnsi="仿宋" w:eastAsia="仿宋"/>
          <w:color w:val="000000" w:themeColor="text1"/>
          <w:szCs w:val="32"/>
        </w:rPr>
      </w:pPr>
      <w:r>
        <w:rPr>
          <w:rFonts w:ascii="仿宋" w:hAnsi="仿宋" w:eastAsia="仿宋"/>
          <w:color w:val="000000" w:themeColor="text1"/>
          <w:szCs w:val="32"/>
        </w:rPr>
        <w:t>20</w:t>
      </w:r>
      <w:r>
        <w:rPr>
          <w:rFonts w:hint="eastAsia" w:ascii="仿宋" w:hAnsi="仿宋" w:eastAsia="仿宋"/>
          <w:color w:val="000000" w:themeColor="text1"/>
          <w:szCs w:val="32"/>
        </w:rPr>
        <w:t>20年本部门机关运行经费安排16万元，主要用于保障机关机构正常运转及正常履职需要的办公费、会议费、培训费、公务用车运行维护费</w:t>
      </w:r>
      <w:r>
        <w:rPr>
          <w:rFonts w:hint="eastAsia" w:ascii="仿宋" w:hAnsi="仿宋" w:eastAsia="仿宋"/>
          <w:color w:val="000000" w:themeColor="text1"/>
          <w:szCs w:val="32"/>
          <w:lang w:val="en-US" w:eastAsia="zh-CN"/>
        </w:rPr>
        <w:t>等方面</w:t>
      </w:r>
      <w:r>
        <w:rPr>
          <w:rFonts w:hint="eastAsia" w:ascii="仿宋" w:hAnsi="仿宋" w:eastAsia="仿宋"/>
          <w:color w:val="000000" w:themeColor="text1"/>
          <w:szCs w:val="32"/>
        </w:rPr>
        <w:t>，比上年增加1.2万元，增加8%，主要原因是司法局新调入人员增加。</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五、“三公”经费安排情况</w:t>
      </w:r>
    </w:p>
    <w:p>
      <w:pPr>
        <w:ind w:firstLine="640" w:firstLineChars="200"/>
        <w:rPr>
          <w:rFonts w:ascii="仿宋" w:hAnsi="仿宋" w:eastAsia="仿宋"/>
          <w:color w:val="000000" w:themeColor="text1"/>
          <w:szCs w:val="32"/>
        </w:rPr>
      </w:pPr>
      <w:r>
        <w:rPr>
          <w:rFonts w:ascii="仿宋" w:hAnsi="仿宋" w:eastAsia="仿宋"/>
          <w:color w:val="000000" w:themeColor="text1"/>
          <w:szCs w:val="32"/>
        </w:rPr>
        <w:t>20</w:t>
      </w:r>
      <w:r>
        <w:rPr>
          <w:rFonts w:hint="eastAsia" w:ascii="仿宋" w:hAnsi="仿宋" w:eastAsia="仿宋"/>
          <w:color w:val="000000" w:themeColor="text1"/>
          <w:szCs w:val="32"/>
        </w:rPr>
        <w:t>20年本部门“三公”经费预算4万元，较上年减少1.8万元，</w:t>
      </w:r>
      <w:r>
        <w:rPr>
          <w:rFonts w:hint="eastAsia" w:ascii="仿宋" w:hAnsi="仿宋" w:eastAsia="仿宋"/>
          <w:color w:val="000000" w:themeColor="text1"/>
          <w:szCs w:val="32"/>
          <w:lang w:val="en-US" w:eastAsia="zh-CN"/>
        </w:rPr>
        <w:t>减少31%,</w:t>
      </w:r>
      <w:bookmarkStart w:id="0" w:name="_GoBack"/>
      <w:bookmarkEnd w:id="0"/>
      <w:r>
        <w:rPr>
          <w:rFonts w:hint="eastAsia" w:ascii="仿宋" w:hAnsi="仿宋" w:eastAsia="仿宋"/>
          <w:color w:val="000000" w:themeColor="text1"/>
          <w:szCs w:val="32"/>
        </w:rPr>
        <w:t>主要原因是由于公车改革后，公车运行数量减少，运行维护成本降低，以及严格执行相关规定，厉行勤俭节约，压减“三公”经费。</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1.因公出国（境）费0万元；</w:t>
      </w:r>
      <w:r>
        <w:rPr>
          <w:rFonts w:ascii="仿宋" w:hAnsi="仿宋" w:eastAsia="仿宋"/>
          <w:color w:val="000000" w:themeColor="text1"/>
          <w:szCs w:val="32"/>
        </w:rPr>
        <w:t xml:space="preserve"> </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2.公务用车购置及运行费4万元，其中：公务用车购置0万元，公务用车运行费4万元。</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3.公务接待费0万元。</w:t>
      </w:r>
    </w:p>
    <w:p>
      <w:pPr>
        <w:ind w:firstLine="640" w:firstLineChars="200"/>
        <w:rPr>
          <w:rFonts w:ascii="仿宋" w:hAnsi="仿宋" w:eastAsia="仿宋"/>
          <w:color w:val="000000" w:themeColor="text1"/>
          <w:szCs w:val="32"/>
        </w:rPr>
      </w:pPr>
      <w:r>
        <w:rPr>
          <w:rFonts w:hint="eastAsia" w:ascii="黑体" w:hAnsi="黑体" w:eastAsia="黑体"/>
          <w:color w:val="000000" w:themeColor="text1"/>
          <w:szCs w:val="32"/>
        </w:rPr>
        <w:t>六、政府采购安排情况</w:t>
      </w:r>
    </w:p>
    <w:p>
      <w:pPr>
        <w:ind w:firstLine="640" w:firstLineChars="200"/>
        <w:rPr>
          <w:rFonts w:ascii="仿宋" w:hAnsi="仿宋" w:eastAsia="仿宋"/>
          <w:color w:val="000000" w:themeColor="text1"/>
          <w:szCs w:val="32"/>
        </w:rPr>
      </w:pPr>
      <w:r>
        <w:rPr>
          <w:rFonts w:ascii="仿宋" w:hAnsi="仿宋" w:eastAsia="仿宋"/>
          <w:color w:val="000000" w:themeColor="text1"/>
          <w:szCs w:val="32"/>
        </w:rPr>
        <w:t>20</w:t>
      </w:r>
      <w:r>
        <w:rPr>
          <w:rFonts w:hint="eastAsia" w:ascii="仿宋" w:hAnsi="仿宋" w:eastAsia="仿宋"/>
          <w:color w:val="000000" w:themeColor="text1"/>
          <w:szCs w:val="32"/>
        </w:rPr>
        <w:t>20年本部门无政府采购预算安排。</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七、政府性基金预算安排情况</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八、</w:t>
      </w:r>
      <w:r>
        <w:rPr>
          <w:rFonts w:ascii="黑体" w:hAnsi="黑体" w:eastAsia="黑体"/>
          <w:color w:val="000000" w:themeColor="text1"/>
          <w:szCs w:val="32"/>
        </w:rPr>
        <w:t>国有资产占用情况</w:t>
      </w:r>
    </w:p>
    <w:p>
      <w:pPr>
        <w:ind w:firstLine="640" w:firstLineChars="200"/>
        <w:rPr>
          <w:rFonts w:ascii="仿宋" w:hAnsi="仿宋" w:eastAsia="仿宋"/>
          <w:color w:val="000000" w:themeColor="text1"/>
          <w:szCs w:val="32"/>
        </w:rPr>
      </w:pPr>
      <w:r>
        <w:rPr>
          <w:rFonts w:ascii="仿宋" w:hAnsi="仿宋" w:eastAsia="仿宋"/>
          <w:color w:val="000000" w:themeColor="text1"/>
          <w:szCs w:val="32"/>
        </w:rPr>
        <w:t>截止201</w:t>
      </w:r>
      <w:r>
        <w:rPr>
          <w:rFonts w:hint="eastAsia" w:ascii="仿宋" w:hAnsi="仿宋" w:eastAsia="仿宋"/>
          <w:color w:val="000000" w:themeColor="text1"/>
          <w:szCs w:val="32"/>
        </w:rPr>
        <w:t>9年末，本部门共有：房屋建筑物956（平方、间）；车辆1辆，其中：一般公务用车1辆、一般执法执勤用车0辆、特种专业技术用车0辆，其他用车0辆，其他用车主要是：无；单位价值</w:t>
      </w:r>
      <w:r>
        <w:rPr>
          <w:rFonts w:ascii="仿宋" w:hAnsi="仿宋" w:eastAsia="仿宋"/>
          <w:color w:val="000000" w:themeColor="text1"/>
          <w:szCs w:val="32"/>
        </w:rPr>
        <w:t>50</w:t>
      </w:r>
      <w:r>
        <w:rPr>
          <w:rFonts w:hint="eastAsia" w:ascii="仿宋" w:hAnsi="仿宋" w:eastAsia="仿宋"/>
          <w:color w:val="000000" w:themeColor="text1"/>
          <w:szCs w:val="32"/>
        </w:rPr>
        <w:t>万元以上通用设备0台（套），单位价值</w:t>
      </w:r>
      <w:r>
        <w:rPr>
          <w:rFonts w:ascii="仿宋" w:hAnsi="仿宋" w:eastAsia="仿宋"/>
          <w:color w:val="000000" w:themeColor="text1"/>
          <w:szCs w:val="32"/>
        </w:rPr>
        <w:t>100</w:t>
      </w:r>
      <w:r>
        <w:rPr>
          <w:rFonts w:hint="eastAsia" w:ascii="仿宋" w:hAnsi="仿宋" w:eastAsia="仿宋"/>
          <w:color w:val="000000" w:themeColor="text1"/>
          <w:szCs w:val="32"/>
        </w:rPr>
        <w:t>万元以上专用设备0台（套）。</w:t>
      </w:r>
    </w:p>
    <w:p>
      <w:pPr>
        <w:ind w:firstLine="640" w:firstLineChars="200"/>
        <w:rPr>
          <w:rFonts w:ascii="黑体" w:hAnsi="黑体" w:eastAsia="黑体"/>
          <w:color w:val="000000" w:themeColor="text1"/>
          <w:szCs w:val="32"/>
        </w:rPr>
      </w:pPr>
      <w:r>
        <w:rPr>
          <w:rFonts w:hint="eastAsia" w:ascii="黑体" w:hAnsi="黑体" w:eastAsia="黑体"/>
          <w:color w:val="000000" w:themeColor="text1"/>
          <w:szCs w:val="32"/>
        </w:rPr>
        <w:t>九、预算绩效管理工作开展情况</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5个项目，139.1万元，并将以此为基础开展后续预算绩效管理工作，努力建立健全以结果为导向的预算绩效管理工作机制。</w:t>
      </w:r>
    </w:p>
    <w:p>
      <w:pPr>
        <w:ind w:firstLine="640" w:firstLineChars="200"/>
        <w:rPr>
          <w:rFonts w:ascii="黑体" w:hAnsi="黑体" w:eastAsia="黑体"/>
          <w:color w:val="000000" w:themeColor="text1"/>
          <w:szCs w:val="32"/>
        </w:rPr>
      </w:pPr>
    </w:p>
    <w:p>
      <w:pPr>
        <w:ind w:firstLine="640" w:firstLineChars="200"/>
        <w:rPr>
          <w:rFonts w:ascii="黑体" w:hAnsi="黑体" w:eastAsia="黑体"/>
          <w:color w:val="000000" w:themeColor="text1"/>
          <w:szCs w:val="32"/>
        </w:rPr>
      </w:pPr>
    </w:p>
    <w:p>
      <w:pPr>
        <w:pStyle w:val="6"/>
        <w:topLinePunct/>
        <w:spacing w:before="0" w:beforeAutospacing="0" w:after="0" w:afterAutospacing="0" w:line="360" w:lineRule="auto"/>
        <w:jc w:val="center"/>
        <w:rPr>
          <w:rFonts w:ascii="Calibri" w:hAnsi="Calibri"/>
          <w:color w:val="000000" w:themeColor="text1"/>
          <w:sz w:val="22"/>
          <w:szCs w:val="21"/>
        </w:rPr>
      </w:pPr>
      <w:r>
        <w:rPr>
          <w:rFonts w:hint="eastAsia" w:ascii="黑体" w:hAnsi="黑体" w:eastAsia="黑体"/>
          <w:color w:val="000000" w:themeColor="text1"/>
          <w:sz w:val="36"/>
          <w:szCs w:val="32"/>
        </w:rPr>
        <w:t>第三部分</w:t>
      </w:r>
    </w:p>
    <w:p>
      <w:pPr>
        <w:pStyle w:val="6"/>
        <w:topLinePunct/>
        <w:spacing w:before="0" w:beforeAutospacing="0" w:after="0" w:afterAutospacing="0" w:line="360" w:lineRule="auto"/>
        <w:jc w:val="center"/>
        <w:rPr>
          <w:rFonts w:ascii="Calibri" w:hAnsi="Calibri"/>
          <w:color w:val="000000" w:themeColor="text1"/>
          <w:sz w:val="22"/>
          <w:szCs w:val="21"/>
        </w:rPr>
      </w:pPr>
      <w:r>
        <w:rPr>
          <w:rFonts w:hint="eastAsia" w:ascii="黑体" w:hAnsi="黑体" w:eastAsia="黑体"/>
          <w:color w:val="000000" w:themeColor="text1"/>
          <w:sz w:val="36"/>
          <w:szCs w:val="32"/>
        </w:rPr>
        <w:t>名词解释</w:t>
      </w:r>
    </w:p>
    <w:p>
      <w:pPr>
        <w:ind w:firstLine="640" w:firstLineChars="200"/>
        <w:rPr>
          <w:rFonts w:ascii="仿宋" w:hAnsi="仿宋" w:eastAsia="仿宋"/>
          <w:color w:val="000000" w:themeColor="text1"/>
          <w:szCs w:val="32"/>
        </w:rPr>
      </w:pPr>
    </w:p>
    <w:p>
      <w:pPr>
        <w:ind w:firstLine="640"/>
        <w:rPr>
          <w:rFonts w:ascii="黑体" w:hAnsi="黑体" w:eastAsia="黑体"/>
          <w:color w:val="000000" w:themeColor="text1"/>
          <w:szCs w:val="32"/>
        </w:rPr>
      </w:pPr>
      <w:r>
        <w:rPr>
          <w:rFonts w:hint="eastAsia" w:ascii="黑体" w:hAnsi="黑体" w:eastAsia="黑体"/>
          <w:color w:val="000000" w:themeColor="text1"/>
          <w:szCs w:val="32"/>
        </w:rPr>
        <w:t>一、财政拨款收入</w:t>
      </w:r>
    </w:p>
    <w:p>
      <w:pPr>
        <w:ind w:firstLine="640"/>
        <w:rPr>
          <w:rFonts w:ascii="仿宋" w:hAnsi="仿宋" w:eastAsia="仿宋"/>
          <w:color w:val="000000" w:themeColor="text1"/>
          <w:szCs w:val="32"/>
        </w:rPr>
      </w:pPr>
      <w:r>
        <w:rPr>
          <w:rFonts w:hint="eastAsia" w:ascii="仿宋" w:hAnsi="仿宋" w:eastAsia="仿宋"/>
          <w:color w:val="000000" w:themeColor="text1"/>
          <w:szCs w:val="32"/>
        </w:rPr>
        <w:t>指本级财政当年拨付的资金。</w:t>
      </w:r>
    </w:p>
    <w:p>
      <w:pPr>
        <w:ind w:firstLine="640"/>
        <w:rPr>
          <w:rFonts w:ascii="黑体" w:hAnsi="黑体" w:eastAsia="黑体"/>
          <w:color w:val="000000" w:themeColor="text1"/>
          <w:szCs w:val="32"/>
        </w:rPr>
      </w:pPr>
      <w:r>
        <w:rPr>
          <w:rFonts w:hint="eastAsia" w:ascii="黑体" w:hAnsi="黑体" w:eastAsia="黑体"/>
          <w:color w:val="000000" w:themeColor="text1"/>
          <w:szCs w:val="32"/>
        </w:rPr>
        <w:t>二、事业收入</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指事业单位开展专务活动及辅助所取得的收入。</w:t>
      </w:r>
    </w:p>
    <w:p>
      <w:pPr>
        <w:ind w:firstLine="640"/>
        <w:rPr>
          <w:rFonts w:ascii="黑体" w:hAnsi="黑体" w:eastAsia="黑体"/>
          <w:color w:val="000000" w:themeColor="text1"/>
          <w:szCs w:val="32"/>
        </w:rPr>
      </w:pPr>
      <w:r>
        <w:rPr>
          <w:rFonts w:hint="eastAsia" w:ascii="黑体" w:hAnsi="黑体" w:eastAsia="黑体"/>
          <w:color w:val="000000" w:themeColor="text1"/>
          <w:szCs w:val="32"/>
        </w:rPr>
        <w:t>三、其他收入</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指除“财政拨款”、“事业收入”、“事业单位经营收入”、“附属单位上缴收入”等以外的收入。</w:t>
      </w:r>
    </w:p>
    <w:p>
      <w:pPr>
        <w:ind w:firstLine="640"/>
        <w:rPr>
          <w:rFonts w:ascii="黑体" w:hAnsi="黑体" w:eastAsia="黑体"/>
          <w:color w:val="000000" w:themeColor="text1"/>
          <w:szCs w:val="32"/>
        </w:rPr>
      </w:pPr>
      <w:r>
        <w:rPr>
          <w:rFonts w:hint="eastAsia" w:ascii="黑体" w:hAnsi="黑体" w:eastAsia="黑体"/>
          <w:color w:val="000000" w:themeColor="text1"/>
          <w:szCs w:val="32"/>
        </w:rPr>
        <w:t>四、基本支出</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指为保障机构正常运转、完成日常工作任务所必需的开支，其内容包括人员经费和日常公用经费两部分。</w:t>
      </w:r>
    </w:p>
    <w:p>
      <w:pPr>
        <w:ind w:firstLine="640"/>
        <w:rPr>
          <w:rFonts w:ascii="黑体" w:hAnsi="黑体" w:eastAsia="黑体"/>
          <w:color w:val="000000" w:themeColor="text1"/>
          <w:szCs w:val="32"/>
        </w:rPr>
      </w:pPr>
      <w:r>
        <w:rPr>
          <w:rFonts w:hint="eastAsia" w:ascii="黑体" w:hAnsi="黑体" w:eastAsia="黑体"/>
          <w:color w:val="000000" w:themeColor="text1"/>
          <w:szCs w:val="32"/>
        </w:rPr>
        <w:t>五、项目支出</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指在基本支出之外，为完成特定的行政工作任务或事业发展目标所发生的支出。</w:t>
      </w:r>
    </w:p>
    <w:p>
      <w:pPr>
        <w:ind w:firstLine="640"/>
        <w:rPr>
          <w:rFonts w:ascii="黑体" w:hAnsi="黑体" w:eastAsia="黑体"/>
          <w:color w:val="000000" w:themeColor="text1"/>
          <w:szCs w:val="32"/>
        </w:rPr>
      </w:pPr>
      <w:r>
        <w:rPr>
          <w:rFonts w:hint="eastAsia" w:ascii="黑体" w:hAnsi="黑体" w:eastAsia="黑体"/>
          <w:color w:val="000000" w:themeColor="text1"/>
          <w:szCs w:val="32"/>
        </w:rPr>
        <w:t>六、机关运行经费</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color w:val="000000" w:themeColor="text1"/>
          <w:szCs w:val="32"/>
        </w:rPr>
      </w:pPr>
      <w:r>
        <w:rPr>
          <w:rFonts w:hint="eastAsia" w:ascii="黑体" w:hAnsi="黑体" w:eastAsia="黑体"/>
          <w:color w:val="000000" w:themeColor="text1"/>
          <w:szCs w:val="32"/>
        </w:rPr>
        <w:t>七、“三公”经费</w:t>
      </w:r>
    </w:p>
    <w:p>
      <w:pPr>
        <w:ind w:firstLine="640" w:firstLineChars="200"/>
        <w:rPr>
          <w:rFonts w:ascii="仿宋" w:hAnsi="仿宋" w:eastAsia="仿宋"/>
          <w:color w:val="000000" w:themeColor="text1"/>
          <w:szCs w:val="32"/>
        </w:rPr>
      </w:pPr>
      <w:r>
        <w:rPr>
          <w:rFonts w:hint="eastAsia" w:ascii="仿宋" w:hAnsi="仿宋" w:eastAsia="仿宋"/>
          <w:color w:val="000000" w:themeColor="text1"/>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ind w:firstLine="640"/>
        <w:rPr>
          <w:rFonts w:ascii="仿宋" w:hAnsi="仿宋" w:eastAsia="仿宋"/>
          <w:color w:val="000000" w:themeColor="text1"/>
          <w:szCs w:val="32"/>
        </w:rPr>
      </w:pPr>
    </w:p>
    <w:p>
      <w:pPr>
        <w:widowControl/>
        <w:jc w:val="left"/>
        <w:rPr>
          <w:rFonts w:ascii="仿宋" w:hAnsi="仿宋" w:eastAsia="仿宋"/>
          <w:color w:val="000000" w:themeColor="text1"/>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8240;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v:path/>
          <v:fill on="f" focussize="0,0"/>
          <v:stroke on="f" weight="0.5pt" joinstyle="miter"/>
          <v:imagedata o:title=""/>
          <o:lock v:ext="edit"/>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- 1 -</w:t>
                </w:r>
                <w:r>
                  <w:rPr>
                    <w:rFonts w:hint="eastAsia"/>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25FAC"/>
    <w:rsid w:val="000B392C"/>
    <w:rsid w:val="00125FAC"/>
    <w:rsid w:val="00127F6F"/>
    <w:rsid w:val="00162A29"/>
    <w:rsid w:val="001852DE"/>
    <w:rsid w:val="001965F5"/>
    <w:rsid w:val="00196E05"/>
    <w:rsid w:val="001B31A3"/>
    <w:rsid w:val="00207623"/>
    <w:rsid w:val="0024750C"/>
    <w:rsid w:val="002A397A"/>
    <w:rsid w:val="00334DFB"/>
    <w:rsid w:val="003573D3"/>
    <w:rsid w:val="00377211"/>
    <w:rsid w:val="003838FD"/>
    <w:rsid w:val="003C0C15"/>
    <w:rsid w:val="003C2DC2"/>
    <w:rsid w:val="004A3479"/>
    <w:rsid w:val="004E79D5"/>
    <w:rsid w:val="0051511D"/>
    <w:rsid w:val="00583109"/>
    <w:rsid w:val="005C2E4D"/>
    <w:rsid w:val="005C4BFD"/>
    <w:rsid w:val="005E427E"/>
    <w:rsid w:val="0060448E"/>
    <w:rsid w:val="00612ECF"/>
    <w:rsid w:val="007C5FD2"/>
    <w:rsid w:val="0081154B"/>
    <w:rsid w:val="00845860"/>
    <w:rsid w:val="008A08E8"/>
    <w:rsid w:val="008A2F34"/>
    <w:rsid w:val="008D7DD2"/>
    <w:rsid w:val="008E57A8"/>
    <w:rsid w:val="00925F66"/>
    <w:rsid w:val="00956191"/>
    <w:rsid w:val="00975602"/>
    <w:rsid w:val="00976444"/>
    <w:rsid w:val="009A1FE2"/>
    <w:rsid w:val="00A02B5D"/>
    <w:rsid w:val="00A46072"/>
    <w:rsid w:val="00B62460"/>
    <w:rsid w:val="00BC0D2F"/>
    <w:rsid w:val="00BE05D7"/>
    <w:rsid w:val="00C15DCD"/>
    <w:rsid w:val="00C56A03"/>
    <w:rsid w:val="00CC6029"/>
    <w:rsid w:val="00D56ECE"/>
    <w:rsid w:val="00DA4FD4"/>
    <w:rsid w:val="00DF06AF"/>
    <w:rsid w:val="00E56EAF"/>
    <w:rsid w:val="00E72D14"/>
    <w:rsid w:val="00F34146"/>
    <w:rsid w:val="00F97444"/>
    <w:rsid w:val="00FC2311"/>
    <w:rsid w:val="00FD4637"/>
    <w:rsid w:val="00FE26A6"/>
    <w:rsid w:val="067B6090"/>
    <w:rsid w:val="49F564D0"/>
    <w:rsid w:val="537D4091"/>
    <w:rsid w:val="5D162225"/>
    <w:rsid w:val="5EB40174"/>
    <w:rsid w:val="66333C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Char"/>
    <w:basedOn w:val="8"/>
    <w:link w:val="2"/>
    <w:qFormat/>
    <w:uiPriority w:val="9"/>
    <w:rPr>
      <w:rFonts w:ascii="方正小标宋_GBK" w:eastAsia="方正小标宋_GBK"/>
      <w:sz w:val="44"/>
    </w:rPr>
  </w:style>
  <w:style w:type="character" w:customStyle="1" w:styleId="10">
    <w:name w:val="页眉 Char"/>
    <w:basedOn w:val="8"/>
    <w:link w:val="5"/>
    <w:qFormat/>
    <w:uiPriority w:val="99"/>
    <w:rPr>
      <w:rFonts w:ascii="仿宋_GB2312" w:eastAsia="仿宋_GB2312"/>
      <w:sz w:val="18"/>
      <w:szCs w:val="18"/>
    </w:rPr>
  </w:style>
  <w:style w:type="character" w:customStyle="1" w:styleId="11">
    <w:name w:val="页脚 Char"/>
    <w:basedOn w:val="8"/>
    <w:link w:val="4"/>
    <w:qFormat/>
    <w:uiPriority w:val="99"/>
    <w:rPr>
      <w:rFonts w:ascii="仿宋_GB2312" w:eastAsia="仿宋_GB2312"/>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398</Words>
  <Characters>2271</Characters>
  <Lines>18</Lines>
  <Paragraphs>5</Paragraphs>
  <TotalTime>0</TotalTime>
  <ScaleCrop>false</ScaleCrop>
  <LinksUpToDate>false</LinksUpToDate>
  <CharactersWithSpaces>2664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2020-12-14T09:02:35Z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