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rPr>
          <w:rFonts w:ascii="方正小标宋_GBK" w:eastAsia="方正小标宋_GBK"/>
          <w:sz w:val="40"/>
        </w:rPr>
      </w:pPr>
    </w:p>
    <w:p>
      <w:pPr>
        <w:jc w:val="center"/>
        <w:rPr>
          <w:rFonts w:ascii="方正小标宋_GBK" w:eastAsia="方正小标宋_GBK"/>
          <w:w w:val="85"/>
          <w:sz w:val="56"/>
        </w:rPr>
      </w:pPr>
      <w:r>
        <w:rPr>
          <w:rFonts w:hint="eastAsia" w:ascii="方正小标宋_GBK" w:eastAsia="方正小标宋_GBK"/>
          <w:w w:val="85"/>
          <w:sz w:val="56"/>
        </w:rPr>
        <w:t>濮阳市华龙区教育局</w:t>
      </w:r>
    </w:p>
    <w:p>
      <w:pPr>
        <w:jc w:val="center"/>
        <w:rPr>
          <w:rFonts w:ascii="方正小标宋_GBK" w:eastAsia="方正小标宋_GBK"/>
          <w:spacing w:val="-20"/>
          <w:sz w:val="44"/>
        </w:rPr>
      </w:pPr>
      <w:r>
        <w:rPr>
          <w:rFonts w:hint="eastAsia" w:ascii="方正小标宋_GBK" w:eastAsia="方正小标宋_GBK"/>
          <w:w w:val="85"/>
          <w:sz w:val="56"/>
        </w:rPr>
        <w:t>2019年部门预算公开说明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hint="eastAsia" w:ascii="方正小标宋_GBK" w:eastAsia="方正小标宋_GBK"/>
          <w:sz w:val="40"/>
        </w:rPr>
      </w:pPr>
    </w:p>
    <w:p>
      <w:pPr>
        <w:jc w:val="center"/>
        <w:rPr>
          <w:rFonts w:hint="eastAsia" w:ascii="方正小标宋_GBK" w:eastAsia="方正小标宋_GBK"/>
          <w:sz w:val="40"/>
        </w:rPr>
      </w:pPr>
    </w:p>
    <w:p>
      <w:pPr>
        <w:jc w:val="center"/>
        <w:rPr>
          <w:rFonts w:hint="eastAsia" w:ascii="方正小标宋_GBK" w:eastAsia="方正小标宋_GBK"/>
          <w:sz w:val="40"/>
        </w:rPr>
      </w:pPr>
    </w:p>
    <w:p>
      <w:pPr>
        <w:jc w:val="center"/>
        <w:rPr>
          <w:rFonts w:hint="eastAsia" w:ascii="方正小标宋_GBK" w:eastAsia="方正小标宋_GBK"/>
          <w:sz w:val="40"/>
        </w:rPr>
      </w:pPr>
    </w:p>
    <w:p>
      <w:pPr>
        <w:jc w:val="center"/>
        <w:rPr>
          <w:rFonts w:hint="eastAsia"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楷体_GB2312" w:eastAsia="楷体_GB2312"/>
          <w:b/>
          <w:w w:val="90"/>
          <w:sz w:val="40"/>
        </w:rPr>
      </w:pPr>
    </w:p>
    <w:p>
      <w:pPr>
        <w:jc w:val="center"/>
        <w:rPr>
          <w:rFonts w:ascii="方正小标宋_GBK" w:eastAsia="方正小标宋_GBK"/>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一九年四月</w:t>
      </w:r>
    </w:p>
    <w:p>
      <w:pPr>
        <w:jc w:val="center"/>
        <w:rPr>
          <w:rFonts w:ascii="方正小标宋_GBK" w:eastAsia="方正小标宋_GBK"/>
          <w:sz w:val="32"/>
        </w:rPr>
      </w:pPr>
      <w:r>
        <w:rPr>
          <w:rFonts w:ascii="方正小标宋_GBK" w:eastAsia="方正小标宋_GBK"/>
          <w:sz w:val="32"/>
        </w:rPr>
        <w:br w:type="page"/>
      </w:r>
    </w:p>
    <w:p>
      <w:pPr>
        <w:pStyle w:val="4"/>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4"/>
        <w:topLinePunct/>
        <w:spacing w:before="0" w:beforeAutospacing="0" w:after="0" w:afterAutospacing="0" w:line="360" w:lineRule="auto"/>
        <w:jc w:val="center"/>
        <w:rPr>
          <w:rFonts w:ascii="黑体" w:hAnsi="黑体" w:eastAsia="黑体"/>
          <w:color w:val="000000"/>
          <w:sz w:val="36"/>
          <w:szCs w:val="32"/>
        </w:rPr>
      </w:pPr>
    </w:p>
    <w:p>
      <w:pPr>
        <w:pStyle w:val="4"/>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一、部门主要职责</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二、机构设置情况</w:t>
      </w:r>
    </w:p>
    <w:p>
      <w:pPr>
        <w:pStyle w:val="4"/>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2019年部门预算情况说明</w:t>
      </w:r>
    </w:p>
    <w:p>
      <w:pPr>
        <w:pStyle w:val="4"/>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4"/>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附件：濮阳市华龙区教育局2019年部门预算表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一、部门收支总表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二、部门收入总表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三、部门支出总表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四、财政拨款收支总表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五、一般公共预算支出表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六、一般公共预算基本支出表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七、一般公共预算“三公”经费支出表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 w:val="32"/>
          <w:szCs w:val="32"/>
        </w:rPr>
      </w:pPr>
    </w:p>
    <w:p>
      <w:pPr>
        <w:rPr>
          <w:rFonts w:hint="eastAsia" w:ascii="黑体" w:hAnsi="黑体" w:eastAsia="黑体"/>
          <w:sz w:val="32"/>
          <w:szCs w:val="32"/>
        </w:rPr>
      </w:pPr>
    </w:p>
    <w:p>
      <w:pPr>
        <w:rPr>
          <w:rFonts w:hint="eastAsia" w:ascii="黑体" w:hAnsi="黑体" w:eastAsia="黑体"/>
          <w:sz w:val="32"/>
          <w:szCs w:val="32"/>
        </w:rPr>
      </w:pPr>
    </w:p>
    <w:p>
      <w:pPr>
        <w:rPr>
          <w:rFonts w:hint="eastAsia" w:ascii="黑体" w:hAnsi="黑体" w:eastAsia="黑体"/>
          <w:sz w:val="32"/>
          <w:szCs w:val="32"/>
        </w:rPr>
      </w:pPr>
    </w:p>
    <w:p>
      <w:pPr>
        <w:rPr>
          <w:rFonts w:ascii="黑体" w:hAnsi="黑体" w:eastAsia="黑体"/>
          <w:sz w:val="32"/>
          <w:szCs w:val="32"/>
        </w:rPr>
      </w:pPr>
      <w:r>
        <w:rPr>
          <w:rFonts w:ascii="黑体" w:hAnsi="黑体" w:eastAsia="黑体"/>
          <w:sz w:val="32"/>
          <w:szCs w:val="32"/>
        </w:rPr>
        <w:br w:type="page"/>
      </w:r>
    </w:p>
    <w:p>
      <w:pPr>
        <w:ind w:firstLine="640" w:firstLineChars="200"/>
        <w:rPr>
          <w:rFonts w:ascii="黑体" w:hAnsi="黑体" w:eastAsia="黑体"/>
          <w:sz w:val="32"/>
          <w:szCs w:val="32"/>
        </w:rPr>
      </w:pP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 w:val="32"/>
          <w:szCs w:val="32"/>
        </w:rPr>
      </w:pPr>
      <w:r>
        <w:rPr>
          <w:rFonts w:ascii="黑体" w:hAnsi="黑体" w:eastAsia="黑体"/>
          <w:sz w:val="32"/>
          <w:szCs w:val="32"/>
        </w:rPr>
        <w:t> </w:t>
      </w:r>
    </w:p>
    <w:p>
      <w:pPr>
        <w:ind w:firstLine="640" w:firstLineChars="200"/>
        <w:rPr>
          <w:rFonts w:ascii="黑体" w:hAnsi="黑体" w:eastAsia="黑体"/>
          <w:sz w:val="32"/>
          <w:szCs w:val="32"/>
        </w:rPr>
      </w:pPr>
      <w:r>
        <w:rPr>
          <w:rFonts w:hint="eastAsia" w:ascii="黑体" w:hAnsi="黑体" w:eastAsia="黑体"/>
          <w:sz w:val="32"/>
          <w:szCs w:val="32"/>
        </w:rPr>
        <w:t>一、部门主要职责</w:t>
      </w:r>
    </w:p>
    <w:p>
      <w:pPr>
        <w:ind w:firstLine="640" w:firstLineChars="200"/>
        <w:rPr>
          <w:rFonts w:ascii="仿宋" w:hAnsi="仿宋" w:eastAsia="仿宋"/>
          <w:sz w:val="32"/>
          <w:szCs w:val="32"/>
        </w:rPr>
      </w:pPr>
      <w:r>
        <w:rPr>
          <w:rFonts w:hint="eastAsia" w:ascii="仿宋" w:hAnsi="仿宋" w:eastAsia="仿宋"/>
          <w:sz w:val="32"/>
          <w:szCs w:val="32"/>
        </w:rPr>
        <w:t>（一）贯彻实施国家、省、市教育改革与发展的方针、政策、法规和规划；制订规范性文件并监督实施；负责教育理论研究和宣传工作，负责组织实施全区中小学校的学校管理、教学管理和督导评估工作。</w:t>
      </w:r>
    </w:p>
    <w:p>
      <w:pPr>
        <w:ind w:firstLine="640" w:firstLineChars="200"/>
        <w:rPr>
          <w:rFonts w:ascii="仿宋" w:hAnsi="仿宋" w:eastAsia="仿宋"/>
          <w:sz w:val="32"/>
          <w:szCs w:val="32"/>
        </w:rPr>
      </w:pPr>
      <w:r>
        <w:rPr>
          <w:rFonts w:hint="eastAsia" w:ascii="仿宋" w:hAnsi="仿宋" w:eastAsia="仿宋"/>
          <w:sz w:val="32"/>
          <w:szCs w:val="32"/>
        </w:rPr>
        <w:t>（二）负责全区各级各类教育的统筹规划和协调管理；制订全区教育改革发展战略和教育事业发展规划；拟订教育体制改革的政策以及教育发展的重点、结构、速度，负责指导、协调、督促实施；指导全区各级各类学校的教育教学改革；负责全区教育基本信息的统计分析和发布。</w:t>
      </w:r>
    </w:p>
    <w:p>
      <w:pPr>
        <w:ind w:firstLine="640" w:firstLineChars="200"/>
        <w:rPr>
          <w:rFonts w:ascii="仿宋" w:hAnsi="仿宋" w:eastAsia="仿宋"/>
          <w:sz w:val="32"/>
          <w:szCs w:val="32"/>
        </w:rPr>
      </w:pPr>
      <w:r>
        <w:rPr>
          <w:rFonts w:hint="eastAsia" w:ascii="仿宋" w:hAnsi="仿宋" w:eastAsia="仿宋"/>
          <w:sz w:val="32"/>
          <w:szCs w:val="32"/>
        </w:rPr>
        <w:t>（三）负责推进义务教育均衡发展和促进教育公平，负责义务教育的宏观指导与协调；指导中小学、幼儿教育和特殊教育工作；落实基础教育教学基本要求和教学基本文件，组织选用基础教育教学的地方性教材和补充教材，全面实施素质教育；指导全区教育督导工作；负责基础教育发展水平、质量的检测工作；督促、落实各学校（含民办教育）的设置标准、教学基本要求、教学基本条件；负责本辖区内民办教育机构的设立审批、具体管理、督查年检及安全工作。</w:t>
      </w:r>
    </w:p>
    <w:p>
      <w:pPr>
        <w:ind w:firstLine="640" w:firstLineChars="200"/>
        <w:rPr>
          <w:rFonts w:ascii="仿宋" w:hAnsi="仿宋" w:eastAsia="仿宋"/>
          <w:sz w:val="32"/>
          <w:szCs w:val="32"/>
        </w:rPr>
      </w:pPr>
      <w:r>
        <w:rPr>
          <w:rFonts w:hint="eastAsia" w:ascii="仿宋" w:hAnsi="仿宋" w:eastAsia="仿宋"/>
          <w:sz w:val="32"/>
          <w:szCs w:val="32"/>
        </w:rPr>
        <w:t>（四）指导教育改革与发展，落实教育学科目录和教学指导文件。</w:t>
      </w:r>
    </w:p>
    <w:p>
      <w:pPr>
        <w:ind w:firstLine="640" w:firstLineChars="200"/>
        <w:rPr>
          <w:rFonts w:ascii="仿宋" w:hAnsi="仿宋" w:eastAsia="仿宋"/>
          <w:sz w:val="32"/>
          <w:szCs w:val="32"/>
        </w:rPr>
      </w:pPr>
      <w:r>
        <w:rPr>
          <w:rFonts w:hint="eastAsia" w:ascii="仿宋" w:hAnsi="仿宋" w:eastAsia="仿宋"/>
          <w:sz w:val="32"/>
          <w:szCs w:val="32"/>
        </w:rPr>
        <w:t>（五）指导全区各类学校思想政治工作、德育工作、体育卫生与艺术教育工作、国防教育及安全稳定工作。</w:t>
      </w:r>
    </w:p>
    <w:p>
      <w:pPr>
        <w:ind w:firstLine="640" w:firstLineChars="200"/>
        <w:rPr>
          <w:rFonts w:ascii="仿宋" w:hAnsi="仿宋" w:eastAsia="仿宋"/>
          <w:sz w:val="32"/>
          <w:szCs w:val="32"/>
        </w:rPr>
      </w:pPr>
      <w:r>
        <w:rPr>
          <w:rFonts w:hint="eastAsia" w:ascii="仿宋" w:hAnsi="仿宋" w:eastAsia="仿宋"/>
          <w:sz w:val="32"/>
          <w:szCs w:val="32"/>
        </w:rPr>
        <w:t>（六）按照有关规定，负责干部管理权限范围内的干部管理工作和全区校长考核、培训工作。</w:t>
      </w:r>
    </w:p>
    <w:p>
      <w:pPr>
        <w:ind w:firstLine="640" w:firstLineChars="200"/>
        <w:rPr>
          <w:rFonts w:ascii="仿宋" w:hAnsi="仿宋" w:eastAsia="仿宋"/>
          <w:sz w:val="32"/>
          <w:szCs w:val="32"/>
        </w:rPr>
      </w:pPr>
      <w:r>
        <w:rPr>
          <w:rFonts w:hint="eastAsia" w:ascii="仿宋" w:hAnsi="仿宋" w:eastAsia="仿宋"/>
          <w:sz w:val="32"/>
          <w:szCs w:val="32"/>
        </w:rPr>
        <w:t>（七）主管全区教师工作。负责全区各级各类学校教师资格制度实施；负责教育系统的表彰奖励；归口管理教师和教育管理人员继续教育；协调指导各级各类学校内部人事与分配制度改革、奖励工作；负责全区中小学、幼儿园教师资格认定办理工作；参与拟订普通大中专毕业生就业政策；配合区政府职改办，承办教育系列专业技术职务任职资格评审工作；指导全区学校干部队伍建设和思想作风建设；负责退、离休教职工的管理；指导教育系统人才队伍建设工作。</w:t>
      </w:r>
    </w:p>
    <w:p>
      <w:pPr>
        <w:ind w:firstLine="640" w:firstLineChars="200"/>
        <w:rPr>
          <w:rFonts w:ascii="仿宋" w:hAnsi="仿宋" w:eastAsia="仿宋"/>
          <w:sz w:val="32"/>
          <w:szCs w:val="32"/>
        </w:rPr>
      </w:pPr>
      <w:r>
        <w:rPr>
          <w:rFonts w:hint="eastAsia" w:ascii="仿宋" w:hAnsi="仿宋" w:eastAsia="仿宋"/>
          <w:sz w:val="32"/>
          <w:szCs w:val="32"/>
        </w:rPr>
        <w:t>（八）负责管理教育系统的科研工作；负责教育系统信息化建设；组织指导教育方面的对外交流与合作。</w:t>
      </w:r>
    </w:p>
    <w:p>
      <w:pPr>
        <w:ind w:firstLine="640" w:firstLineChars="200"/>
        <w:rPr>
          <w:rFonts w:ascii="仿宋" w:hAnsi="仿宋" w:eastAsia="仿宋"/>
          <w:sz w:val="32"/>
          <w:szCs w:val="32"/>
        </w:rPr>
      </w:pPr>
      <w:r>
        <w:rPr>
          <w:rFonts w:hint="eastAsia" w:ascii="仿宋" w:hAnsi="仿宋" w:eastAsia="仿宋"/>
          <w:sz w:val="32"/>
          <w:szCs w:val="32"/>
        </w:rPr>
        <w:t>（九）承办区政府交办的其他事项。</w:t>
      </w:r>
    </w:p>
    <w:p>
      <w:pPr>
        <w:ind w:firstLine="640" w:firstLineChars="200"/>
        <w:rPr>
          <w:rFonts w:ascii="黑体" w:hAnsi="黑体" w:eastAsia="黑体"/>
          <w:sz w:val="32"/>
          <w:szCs w:val="32"/>
        </w:rPr>
      </w:pPr>
      <w:r>
        <w:rPr>
          <w:rFonts w:hint="eastAsia" w:ascii="黑体" w:hAnsi="黑体" w:eastAsia="黑体"/>
          <w:sz w:val="32"/>
          <w:szCs w:val="32"/>
        </w:rPr>
        <w:t>二、机构设置情况</w:t>
      </w:r>
    </w:p>
    <w:p>
      <w:pPr>
        <w:ind w:firstLine="640" w:firstLineChars="200"/>
        <w:rPr>
          <w:rFonts w:ascii="仿宋" w:hAnsi="仿宋" w:eastAsia="仿宋"/>
          <w:sz w:val="32"/>
          <w:szCs w:val="32"/>
        </w:rPr>
      </w:pPr>
      <w:r>
        <w:rPr>
          <w:rFonts w:hint="eastAsia" w:ascii="仿宋" w:hAnsi="仿宋" w:eastAsia="仿宋"/>
          <w:sz w:val="32"/>
          <w:szCs w:val="32"/>
        </w:rPr>
        <w:t>根据工作职责及实际工作需要，濮阳市华龙区教育局设有办公室、主体办、教育股、学前办、教研室、基建办、计财股、仪器站、招生办、成教股、人事股、督导室、资助中心、安全办、语委办、勤俭办、体艺股等17个内设机构以及青少年学生校外活动中心、教师培训中心2个二级预算单位。本部门经费实行全额预算管理。</w:t>
      </w: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黑体" w:hAnsi="黑体" w:eastAsia="黑体"/>
          <w:sz w:val="32"/>
          <w:szCs w:val="32"/>
        </w:rPr>
      </w:pP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2019年部门预算情况说明</w:t>
      </w:r>
    </w:p>
    <w:p>
      <w:pPr>
        <w:ind w:firstLine="640" w:firstLineChars="200"/>
        <w:rPr>
          <w:rFonts w:ascii="华文仿宋" w:hAnsi="华文仿宋" w:eastAsia="华文仿宋"/>
          <w:sz w:val="32"/>
          <w:szCs w:val="32"/>
        </w:rPr>
      </w:pPr>
    </w:p>
    <w:p>
      <w:pPr>
        <w:ind w:firstLine="640" w:firstLineChars="200"/>
        <w:rPr>
          <w:rFonts w:ascii="黑体" w:hAnsi="黑体" w:eastAsia="黑体"/>
          <w:sz w:val="32"/>
          <w:szCs w:val="32"/>
        </w:rPr>
      </w:pPr>
      <w:r>
        <w:rPr>
          <w:rFonts w:hint="eastAsia" w:ascii="黑体" w:hAnsi="黑体" w:eastAsia="黑体"/>
          <w:sz w:val="32"/>
          <w:szCs w:val="32"/>
        </w:rPr>
        <w:t>一、本级预算和所属单位预算在内的汇总预算总体情况</w:t>
      </w:r>
    </w:p>
    <w:p>
      <w:pPr>
        <w:ind w:firstLine="640" w:firstLineChars="200"/>
        <w:rPr>
          <w:rFonts w:ascii="仿宋" w:hAnsi="仿宋" w:eastAsia="仿宋"/>
          <w:sz w:val="32"/>
          <w:szCs w:val="32"/>
        </w:rPr>
      </w:pPr>
      <w:r>
        <w:rPr>
          <w:rFonts w:hint="eastAsia" w:ascii="仿宋" w:hAnsi="仿宋" w:eastAsia="仿宋"/>
          <w:sz w:val="32"/>
          <w:szCs w:val="32"/>
        </w:rPr>
        <w:t>2019年本级预算和所属单位预算在内的汇总预算收入总计1006.41万元，支出总计1006.41万元。其中：华龙区教</w:t>
      </w:r>
      <w:r>
        <w:rPr>
          <w:rFonts w:hint="eastAsia" w:ascii="仿宋" w:hAnsi="仿宋" w:eastAsia="仿宋"/>
          <w:sz w:val="32"/>
          <w:szCs w:val="32"/>
          <w:lang w:val="en-US" w:eastAsia="zh-CN"/>
        </w:rPr>
        <w:t>育</w:t>
      </w:r>
      <w:bookmarkStart w:id="0" w:name="_GoBack"/>
      <w:bookmarkEnd w:id="0"/>
      <w:r>
        <w:rPr>
          <w:rFonts w:hint="eastAsia" w:ascii="仿宋" w:hAnsi="仿宋" w:eastAsia="仿宋"/>
          <w:sz w:val="32"/>
          <w:szCs w:val="32"/>
        </w:rPr>
        <w:t>局财政预算收入830.87万元，财政预算支出830.87万元；华龙区青少年活动中心财政预算收入121.97万元，财政预算支出121.97万元；华龙区教师培训中心财政预算收入53.57万元，财政预算支出53.57万元.</w:t>
      </w:r>
    </w:p>
    <w:p>
      <w:pPr>
        <w:ind w:firstLine="640" w:firstLineChars="200"/>
        <w:rPr>
          <w:rFonts w:ascii="黑体" w:hAnsi="黑体" w:eastAsia="黑体"/>
          <w:sz w:val="32"/>
          <w:szCs w:val="32"/>
        </w:rPr>
      </w:pPr>
      <w:r>
        <w:rPr>
          <w:rFonts w:hint="eastAsia" w:ascii="黑体" w:hAnsi="黑体" w:eastAsia="黑体"/>
          <w:sz w:val="32"/>
          <w:szCs w:val="32"/>
        </w:rPr>
        <w:t>二、部门预算收支增减变动情况</w:t>
      </w:r>
    </w:p>
    <w:p>
      <w:pPr>
        <w:ind w:firstLine="640" w:firstLineChars="200"/>
        <w:rPr>
          <w:rFonts w:ascii="仿宋" w:hAnsi="仿宋" w:eastAsia="仿宋"/>
          <w:sz w:val="32"/>
          <w:szCs w:val="32"/>
        </w:rPr>
      </w:pPr>
      <w:r>
        <w:rPr>
          <w:rFonts w:hint="eastAsia" w:ascii="仿宋" w:hAnsi="仿宋" w:eastAsia="仿宋"/>
          <w:sz w:val="32"/>
          <w:szCs w:val="32"/>
        </w:rPr>
        <w:t>2019年本级预算和所属单位预算在内的汇总预算收入总计1006.41万元，支出总计1006.41万元。其中：基本支出777.91万元，占比77.3%，项目支出228.5万元，占比22.7%。</w:t>
      </w:r>
    </w:p>
    <w:p>
      <w:pPr>
        <w:ind w:firstLine="640" w:firstLineChars="200"/>
        <w:rPr>
          <w:rFonts w:ascii="仿宋" w:hAnsi="仿宋" w:eastAsia="仿宋"/>
          <w:sz w:val="32"/>
          <w:szCs w:val="32"/>
        </w:rPr>
      </w:pPr>
      <w:r>
        <w:rPr>
          <w:rFonts w:hint="eastAsia" w:ascii="仿宋" w:hAnsi="仿宋" w:eastAsia="仿宋"/>
          <w:sz w:val="32"/>
          <w:szCs w:val="32"/>
        </w:rPr>
        <w:t>201</w:t>
      </w:r>
      <w:r>
        <w:rPr>
          <w:rFonts w:ascii="仿宋" w:hAnsi="仿宋" w:eastAsia="仿宋"/>
          <w:sz w:val="32"/>
          <w:szCs w:val="32"/>
        </w:rPr>
        <w:t>9</w:t>
      </w:r>
      <w:r>
        <w:rPr>
          <w:rFonts w:hint="eastAsia" w:ascii="仿宋" w:hAnsi="仿宋" w:eastAsia="仿宋"/>
          <w:sz w:val="32"/>
          <w:szCs w:val="32"/>
        </w:rPr>
        <w:t>年本级预算和所属单位预算在内的汇总预算较上年减少142.05万元，减少12.4</w:t>
      </w:r>
      <w:r>
        <w:rPr>
          <w:rFonts w:ascii="仿宋" w:hAnsi="仿宋" w:eastAsia="仿宋"/>
          <w:sz w:val="32"/>
          <w:szCs w:val="32"/>
        </w:rPr>
        <w:t>%</w:t>
      </w:r>
      <w:r>
        <w:rPr>
          <w:rFonts w:hint="eastAsia" w:ascii="仿宋" w:hAnsi="仿宋" w:eastAsia="仿宋"/>
          <w:sz w:val="32"/>
          <w:szCs w:val="32"/>
        </w:rPr>
        <w:t>。主要原因是濮阳市华龙区体育运动中心已于2019年1月份从濮阳市华龙区教育局二级机构中划出，归属于濮阳市华龙区文化广电旅游体育局。</w:t>
      </w:r>
    </w:p>
    <w:p>
      <w:pPr>
        <w:ind w:firstLine="640" w:firstLineChars="200"/>
        <w:rPr>
          <w:rFonts w:ascii="黑体" w:hAnsi="黑体" w:eastAsia="黑体"/>
          <w:sz w:val="32"/>
          <w:szCs w:val="32"/>
        </w:rPr>
      </w:pPr>
      <w:r>
        <w:rPr>
          <w:rFonts w:hint="eastAsia" w:ascii="黑体" w:hAnsi="黑体" w:eastAsia="黑体"/>
          <w:sz w:val="32"/>
          <w:szCs w:val="32"/>
        </w:rPr>
        <w:t>三、机关运行经费安排情况</w:t>
      </w:r>
    </w:p>
    <w:p>
      <w:pPr>
        <w:ind w:firstLine="640" w:firstLineChars="20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9年本部门机关运行经费安排</w:t>
      </w:r>
      <w:r>
        <w:rPr>
          <w:rFonts w:hint="eastAsia" w:ascii="仿宋" w:hAnsi="仿宋" w:eastAsia="仿宋"/>
          <w:sz w:val="32"/>
          <w:szCs w:val="32"/>
          <w:lang w:val="en-US" w:eastAsia="zh-CN"/>
        </w:rPr>
        <w:t>30</w:t>
      </w:r>
      <w:r>
        <w:rPr>
          <w:rFonts w:hint="eastAsia" w:ascii="仿宋" w:hAnsi="仿宋" w:eastAsia="仿宋"/>
          <w:sz w:val="32"/>
          <w:szCs w:val="32"/>
        </w:rPr>
        <w:t>万元，主要用于办公费、培训费、公务接待费、公务用车运行维护费、其他商品服务支出，比上年</w:t>
      </w:r>
      <w:r>
        <w:rPr>
          <w:rFonts w:hint="eastAsia" w:ascii="仿宋" w:hAnsi="仿宋" w:eastAsia="仿宋"/>
          <w:sz w:val="32"/>
          <w:szCs w:val="32"/>
          <w:lang w:val="en-US" w:eastAsia="zh-CN"/>
        </w:rPr>
        <w:t>增加6.4</w:t>
      </w:r>
      <w:r>
        <w:rPr>
          <w:rFonts w:hint="eastAsia" w:ascii="仿宋" w:hAnsi="仿宋" w:eastAsia="仿宋"/>
          <w:sz w:val="32"/>
          <w:szCs w:val="32"/>
        </w:rPr>
        <w:t>万元，</w:t>
      </w:r>
      <w:r>
        <w:rPr>
          <w:rFonts w:hint="eastAsia" w:ascii="仿宋" w:hAnsi="仿宋" w:eastAsia="仿宋"/>
          <w:sz w:val="32"/>
          <w:szCs w:val="32"/>
          <w:lang w:val="en-US" w:eastAsia="zh-CN"/>
        </w:rPr>
        <w:t>增加27.12</w:t>
      </w:r>
      <w:r>
        <w:rPr>
          <w:rFonts w:hint="eastAsia" w:ascii="仿宋" w:hAnsi="仿宋" w:eastAsia="仿宋"/>
          <w:sz w:val="32"/>
          <w:szCs w:val="32"/>
        </w:rPr>
        <w:t>%，主要原因是</w:t>
      </w:r>
      <w:r>
        <w:rPr>
          <w:rFonts w:hint="eastAsia" w:ascii="仿宋" w:hAnsi="仿宋" w:eastAsia="仿宋"/>
          <w:sz w:val="32"/>
          <w:szCs w:val="32"/>
          <w:lang w:val="en-US" w:eastAsia="zh-CN"/>
        </w:rPr>
        <w:t>华龙区青少年活动中心和华龙区教师培训中心预算合并到教育局填报</w:t>
      </w:r>
      <w:r>
        <w:rPr>
          <w:rFonts w:hint="eastAsia" w:ascii="仿宋" w:hAnsi="仿宋" w:eastAsia="仿宋"/>
          <w:sz w:val="32"/>
          <w:szCs w:val="32"/>
        </w:rPr>
        <w:t>。</w:t>
      </w:r>
    </w:p>
    <w:p>
      <w:pPr>
        <w:ind w:firstLine="640" w:firstLineChars="200"/>
        <w:rPr>
          <w:rFonts w:ascii="黑体" w:hAnsi="黑体" w:eastAsia="黑体"/>
          <w:sz w:val="32"/>
          <w:szCs w:val="32"/>
        </w:rPr>
      </w:pPr>
      <w:r>
        <w:rPr>
          <w:rFonts w:hint="eastAsia" w:ascii="黑体" w:hAnsi="黑体" w:eastAsia="黑体"/>
          <w:sz w:val="32"/>
          <w:szCs w:val="32"/>
        </w:rPr>
        <w:t>四、“三公”经费安排情况</w:t>
      </w:r>
    </w:p>
    <w:p>
      <w:pPr>
        <w:ind w:firstLine="640" w:firstLineChars="20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9年本部门“三公”经费预算11.5万元，较上年增加0.5万元，主要原因是由于2019年华龙区将迎接国家和省义务教育均衡发展区的预验收，所以公务用车运行维护费较上年减少预算0.5万元，公务接待费较上年增加预算1万元。</w:t>
      </w:r>
    </w:p>
    <w:p>
      <w:pPr>
        <w:ind w:firstLine="640" w:firstLineChars="200"/>
        <w:rPr>
          <w:rFonts w:ascii="仿宋" w:hAnsi="仿宋" w:eastAsia="仿宋"/>
          <w:sz w:val="32"/>
          <w:szCs w:val="32"/>
        </w:rPr>
      </w:pPr>
      <w:r>
        <w:rPr>
          <w:rFonts w:hint="eastAsia" w:ascii="仿宋" w:hAnsi="仿宋" w:eastAsia="仿宋"/>
          <w:sz w:val="32"/>
          <w:szCs w:val="32"/>
        </w:rPr>
        <w:t>1.因公出国（境）费0万元；</w:t>
      </w:r>
    </w:p>
    <w:p>
      <w:pPr>
        <w:ind w:firstLine="640" w:firstLineChars="200"/>
        <w:rPr>
          <w:rFonts w:ascii="仿宋" w:hAnsi="仿宋" w:eastAsia="仿宋"/>
          <w:sz w:val="32"/>
          <w:szCs w:val="32"/>
        </w:rPr>
      </w:pPr>
      <w:r>
        <w:rPr>
          <w:rFonts w:hint="eastAsia" w:ascii="仿宋" w:hAnsi="仿宋" w:eastAsia="仿宋"/>
          <w:sz w:val="32"/>
          <w:szCs w:val="32"/>
        </w:rPr>
        <w:t>2.公务用车购置及运行费9.5万元，其中：公务用车购置0万元，公务用车运行费9.5万元。</w:t>
      </w:r>
    </w:p>
    <w:p>
      <w:pPr>
        <w:ind w:firstLine="640" w:firstLineChars="200"/>
        <w:rPr>
          <w:rFonts w:ascii="仿宋" w:hAnsi="仿宋" w:eastAsia="仿宋"/>
          <w:sz w:val="32"/>
          <w:szCs w:val="32"/>
        </w:rPr>
      </w:pPr>
      <w:r>
        <w:rPr>
          <w:rFonts w:hint="eastAsia" w:ascii="仿宋" w:hAnsi="仿宋" w:eastAsia="仿宋"/>
          <w:sz w:val="32"/>
          <w:szCs w:val="32"/>
        </w:rPr>
        <w:t>3.公务接待费2万元。</w:t>
      </w:r>
    </w:p>
    <w:p>
      <w:pPr>
        <w:ind w:firstLine="640" w:firstLineChars="200"/>
        <w:rPr>
          <w:rFonts w:ascii="仿宋" w:hAnsi="仿宋" w:eastAsia="仿宋"/>
          <w:sz w:val="32"/>
          <w:szCs w:val="32"/>
        </w:rPr>
      </w:pPr>
      <w:r>
        <w:rPr>
          <w:rFonts w:hint="eastAsia" w:ascii="黑体" w:hAnsi="黑体" w:eastAsia="黑体"/>
          <w:sz w:val="32"/>
          <w:szCs w:val="32"/>
        </w:rPr>
        <w:t>五、政府采购安排情况</w:t>
      </w:r>
    </w:p>
    <w:p>
      <w:pPr>
        <w:ind w:firstLine="640" w:firstLineChars="20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9年本部门无政府采购预算安排。</w:t>
      </w:r>
    </w:p>
    <w:p>
      <w:pPr>
        <w:ind w:firstLine="640" w:firstLineChars="200"/>
        <w:rPr>
          <w:rFonts w:ascii="黑体" w:hAnsi="黑体" w:eastAsia="黑体"/>
          <w:sz w:val="32"/>
          <w:szCs w:val="32"/>
        </w:rPr>
      </w:pPr>
      <w:r>
        <w:rPr>
          <w:rFonts w:hint="eastAsia" w:ascii="黑体" w:hAnsi="黑体" w:eastAsia="黑体"/>
          <w:sz w:val="32"/>
          <w:szCs w:val="32"/>
        </w:rPr>
        <w:t>六、政府性基金预算安排情况</w:t>
      </w:r>
    </w:p>
    <w:p>
      <w:pPr>
        <w:ind w:firstLine="640" w:firstLineChars="200"/>
        <w:rPr>
          <w:rFonts w:ascii="仿宋" w:hAnsi="仿宋" w:eastAsia="仿宋"/>
          <w:sz w:val="32"/>
          <w:szCs w:val="32"/>
        </w:rPr>
      </w:pPr>
      <w:r>
        <w:rPr>
          <w:rFonts w:hint="eastAsia" w:ascii="仿宋" w:hAnsi="仿宋" w:eastAsia="仿宋"/>
          <w:sz w:val="32"/>
          <w:szCs w:val="32"/>
        </w:rPr>
        <w:t>本部门无使用政府性基金预算安排的支出。</w:t>
      </w:r>
    </w:p>
    <w:p>
      <w:pPr>
        <w:ind w:firstLine="640" w:firstLineChars="200"/>
        <w:rPr>
          <w:rFonts w:ascii="黑体" w:hAnsi="黑体" w:eastAsia="黑体"/>
          <w:sz w:val="32"/>
          <w:szCs w:val="32"/>
        </w:rPr>
      </w:pPr>
      <w:r>
        <w:rPr>
          <w:rFonts w:hint="eastAsia" w:ascii="黑体" w:hAnsi="黑体" w:eastAsia="黑体"/>
          <w:sz w:val="32"/>
          <w:szCs w:val="32"/>
        </w:rPr>
        <w:t>七、</w:t>
      </w:r>
      <w:r>
        <w:rPr>
          <w:rFonts w:ascii="黑体" w:hAnsi="黑体" w:eastAsia="黑体"/>
          <w:sz w:val="32"/>
          <w:szCs w:val="32"/>
        </w:rPr>
        <w:t>国有资产占用情况</w:t>
      </w:r>
    </w:p>
    <w:p>
      <w:pPr>
        <w:ind w:firstLine="640" w:firstLineChars="200"/>
        <w:rPr>
          <w:rFonts w:ascii="仿宋" w:hAnsi="仿宋" w:eastAsia="仿宋"/>
          <w:sz w:val="32"/>
          <w:szCs w:val="32"/>
        </w:rPr>
      </w:pPr>
      <w:r>
        <w:rPr>
          <w:rFonts w:ascii="仿宋" w:hAnsi="仿宋" w:eastAsia="仿宋"/>
          <w:sz w:val="32"/>
          <w:szCs w:val="32"/>
        </w:rPr>
        <w:t>截止201</w:t>
      </w:r>
      <w:r>
        <w:rPr>
          <w:rFonts w:hint="eastAsia" w:ascii="仿宋" w:hAnsi="仿宋" w:eastAsia="仿宋"/>
          <w:sz w:val="32"/>
          <w:szCs w:val="32"/>
        </w:rPr>
        <w:t>8年末，本部门共有车辆1辆，其中：一般公务用车1辆、一般执法执勤用车0辆、特种专业技术用车0辆，其他用车0辆；单位价值</w:t>
      </w:r>
      <w:r>
        <w:rPr>
          <w:rFonts w:ascii="仿宋" w:hAnsi="仿宋" w:eastAsia="仿宋"/>
          <w:sz w:val="32"/>
          <w:szCs w:val="32"/>
        </w:rPr>
        <w:t>50</w:t>
      </w:r>
      <w:r>
        <w:rPr>
          <w:rFonts w:hint="eastAsia" w:ascii="仿宋" w:hAnsi="仿宋" w:eastAsia="仿宋"/>
          <w:sz w:val="32"/>
          <w:szCs w:val="32"/>
        </w:rPr>
        <w:t>万元以上通用设备0台（套），单位价值</w:t>
      </w:r>
      <w:r>
        <w:rPr>
          <w:rFonts w:ascii="仿宋" w:hAnsi="仿宋" w:eastAsia="仿宋"/>
          <w:sz w:val="32"/>
          <w:szCs w:val="32"/>
        </w:rPr>
        <w:t>100</w:t>
      </w:r>
      <w:r>
        <w:rPr>
          <w:rFonts w:hint="eastAsia" w:ascii="仿宋" w:hAnsi="仿宋" w:eastAsia="仿宋"/>
          <w:sz w:val="32"/>
          <w:szCs w:val="32"/>
        </w:rPr>
        <w:t>万元以上专用设备0台（套）。</w:t>
      </w:r>
    </w:p>
    <w:p>
      <w:pPr>
        <w:ind w:firstLine="640" w:firstLineChars="200"/>
        <w:rPr>
          <w:rFonts w:ascii="黑体" w:hAnsi="黑体" w:eastAsia="黑体"/>
          <w:sz w:val="32"/>
          <w:szCs w:val="32"/>
        </w:rPr>
      </w:pPr>
      <w:r>
        <w:rPr>
          <w:rFonts w:hint="eastAsia" w:ascii="黑体" w:hAnsi="黑体" w:eastAsia="黑体"/>
          <w:sz w:val="32"/>
          <w:szCs w:val="32"/>
        </w:rPr>
        <w:t>八、预算绩效管理工作开展情况</w:t>
      </w:r>
    </w:p>
    <w:p>
      <w:pPr>
        <w:ind w:firstLine="640" w:firstLineChars="200"/>
        <w:rPr>
          <w:rFonts w:ascii="仿宋" w:hAnsi="仿宋" w:eastAsia="仿宋"/>
          <w:sz w:val="32"/>
          <w:szCs w:val="32"/>
        </w:rPr>
      </w:pPr>
      <w:r>
        <w:rPr>
          <w:rFonts w:hint="eastAsia" w:ascii="仿宋" w:hAnsi="仿宋" w:eastAsia="仿宋"/>
          <w:sz w:val="32"/>
          <w:szCs w:val="32"/>
        </w:rPr>
        <w:t>按照《濮阳市华龙区财政局关于编制区级2019年部门预算（草案）和2019-2021年财政规划的通知》（华龙财〔2018〕105号）有关全面推进预算绩效管理方面的要求，本部门牢固树立“讲绩效、重绩效、用绩效”的绩效管理理念，年度预算申报时，针对政策及重点项目逐项设立并报送了预算绩效目标，努力建立健全以结果为导向的预算绩效管理工作机制。</w:t>
      </w:r>
    </w:p>
    <w:p>
      <w:pPr>
        <w:ind w:firstLine="640" w:firstLineChars="200"/>
        <w:rPr>
          <w:rFonts w:ascii="黑体" w:hAnsi="黑体" w:eastAsia="黑体"/>
          <w:sz w:val="32"/>
          <w:szCs w:val="32"/>
        </w:rPr>
      </w:pPr>
    </w:p>
    <w:p>
      <w:pPr>
        <w:ind w:firstLine="640" w:firstLineChars="200"/>
        <w:rPr>
          <w:rFonts w:ascii="黑体" w:hAnsi="黑体" w:eastAsia="黑体"/>
          <w:sz w:val="32"/>
          <w:szCs w:val="32"/>
        </w:rPr>
      </w:pP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 w:val="32"/>
          <w:szCs w:val="32"/>
        </w:rPr>
      </w:pPr>
    </w:p>
    <w:p>
      <w:pPr>
        <w:ind w:firstLine="640"/>
        <w:rPr>
          <w:rFonts w:ascii="黑体" w:hAnsi="黑体" w:eastAsia="黑体"/>
          <w:sz w:val="32"/>
          <w:szCs w:val="32"/>
        </w:rPr>
      </w:pPr>
      <w:r>
        <w:rPr>
          <w:rFonts w:hint="eastAsia" w:ascii="黑体" w:hAnsi="黑体" w:eastAsia="黑体"/>
          <w:sz w:val="32"/>
          <w:szCs w:val="32"/>
        </w:rPr>
        <w:t>一、财政拨款收入</w:t>
      </w:r>
    </w:p>
    <w:p>
      <w:pPr>
        <w:ind w:firstLine="640"/>
        <w:rPr>
          <w:rFonts w:ascii="仿宋" w:hAnsi="仿宋" w:eastAsia="仿宋"/>
          <w:sz w:val="32"/>
          <w:szCs w:val="32"/>
        </w:rPr>
      </w:pPr>
      <w:r>
        <w:rPr>
          <w:rFonts w:hint="eastAsia" w:ascii="仿宋" w:hAnsi="仿宋" w:eastAsia="仿宋"/>
          <w:sz w:val="32"/>
          <w:szCs w:val="32"/>
        </w:rPr>
        <w:t>指本级财政当年拨付的资金。</w:t>
      </w:r>
    </w:p>
    <w:p>
      <w:pPr>
        <w:ind w:firstLine="640"/>
        <w:rPr>
          <w:rFonts w:ascii="黑体" w:hAnsi="黑体" w:eastAsia="黑体"/>
          <w:sz w:val="32"/>
          <w:szCs w:val="32"/>
        </w:rPr>
      </w:pPr>
      <w:r>
        <w:rPr>
          <w:rFonts w:hint="eastAsia" w:ascii="黑体" w:hAnsi="黑体" w:eastAsia="黑体"/>
          <w:sz w:val="32"/>
          <w:szCs w:val="32"/>
        </w:rPr>
        <w:t>二、事业收入</w:t>
      </w:r>
    </w:p>
    <w:p>
      <w:pPr>
        <w:ind w:firstLine="640" w:firstLineChars="200"/>
        <w:rPr>
          <w:rFonts w:ascii="仿宋" w:hAnsi="仿宋" w:eastAsia="仿宋"/>
          <w:sz w:val="32"/>
          <w:szCs w:val="32"/>
        </w:rPr>
      </w:pPr>
      <w:r>
        <w:rPr>
          <w:rFonts w:hint="eastAsia" w:ascii="仿宋" w:hAnsi="仿宋" w:eastAsia="仿宋"/>
          <w:sz w:val="32"/>
          <w:szCs w:val="32"/>
        </w:rPr>
        <w:t>指事业单位开展专务活动及辅助所取得的收入。</w:t>
      </w:r>
    </w:p>
    <w:p>
      <w:pPr>
        <w:ind w:firstLine="640"/>
        <w:rPr>
          <w:rFonts w:ascii="黑体" w:hAnsi="黑体" w:eastAsia="黑体"/>
          <w:sz w:val="32"/>
          <w:szCs w:val="32"/>
        </w:rPr>
      </w:pPr>
      <w:r>
        <w:rPr>
          <w:rFonts w:hint="eastAsia" w:ascii="黑体" w:hAnsi="黑体" w:eastAsia="黑体"/>
          <w:sz w:val="32"/>
          <w:szCs w:val="32"/>
        </w:rPr>
        <w:t>三、其他收入</w:t>
      </w:r>
    </w:p>
    <w:p>
      <w:pPr>
        <w:ind w:firstLine="640" w:firstLineChars="200"/>
        <w:rPr>
          <w:rFonts w:ascii="仿宋" w:hAnsi="仿宋" w:eastAsia="仿宋"/>
          <w:sz w:val="32"/>
          <w:szCs w:val="32"/>
        </w:rPr>
      </w:pPr>
      <w:r>
        <w:rPr>
          <w:rFonts w:hint="eastAsia" w:ascii="仿宋" w:hAnsi="仿宋" w:eastAsia="仿宋"/>
          <w:sz w:val="32"/>
          <w:szCs w:val="32"/>
        </w:rPr>
        <w:t>指除“财政拨款”、“事业收入”、“事业单位经营收入”、“附属单位上缴收入”等以外的收入。</w:t>
      </w:r>
    </w:p>
    <w:p>
      <w:pPr>
        <w:ind w:firstLine="640"/>
        <w:rPr>
          <w:rFonts w:ascii="黑体" w:hAnsi="黑体" w:eastAsia="黑体"/>
          <w:sz w:val="32"/>
          <w:szCs w:val="32"/>
        </w:rPr>
      </w:pPr>
      <w:r>
        <w:rPr>
          <w:rFonts w:hint="eastAsia" w:ascii="黑体" w:hAnsi="黑体" w:eastAsia="黑体"/>
          <w:sz w:val="32"/>
          <w:szCs w:val="32"/>
        </w:rPr>
        <w:t>四、基本支出</w:t>
      </w:r>
    </w:p>
    <w:p>
      <w:pPr>
        <w:ind w:firstLine="640" w:firstLineChars="200"/>
        <w:rPr>
          <w:rFonts w:ascii="仿宋" w:hAnsi="仿宋" w:eastAsia="仿宋"/>
          <w:sz w:val="32"/>
          <w:szCs w:val="32"/>
        </w:rPr>
      </w:pPr>
      <w:r>
        <w:rPr>
          <w:rFonts w:hint="eastAsia" w:ascii="仿宋" w:hAnsi="仿宋" w:eastAsia="仿宋"/>
          <w:sz w:val="32"/>
          <w:szCs w:val="32"/>
        </w:rPr>
        <w:t>指为保障机构正常运转、完成日常工作任务所必需的开支，其内容包括人员经费和日常公用经费两部分。</w:t>
      </w:r>
    </w:p>
    <w:p>
      <w:pPr>
        <w:ind w:firstLine="640"/>
        <w:rPr>
          <w:rFonts w:ascii="黑体" w:hAnsi="黑体" w:eastAsia="黑体"/>
          <w:sz w:val="32"/>
          <w:szCs w:val="32"/>
        </w:rPr>
      </w:pPr>
      <w:r>
        <w:rPr>
          <w:rFonts w:hint="eastAsia" w:ascii="黑体" w:hAnsi="黑体" w:eastAsia="黑体"/>
          <w:sz w:val="32"/>
          <w:szCs w:val="32"/>
        </w:rPr>
        <w:t>五、项目支出</w:t>
      </w:r>
    </w:p>
    <w:p>
      <w:pPr>
        <w:ind w:firstLine="640" w:firstLineChars="200"/>
        <w:rPr>
          <w:rFonts w:ascii="仿宋" w:hAnsi="仿宋" w:eastAsia="仿宋"/>
          <w:sz w:val="32"/>
          <w:szCs w:val="32"/>
        </w:rPr>
      </w:pPr>
      <w:r>
        <w:rPr>
          <w:rFonts w:hint="eastAsia" w:ascii="仿宋" w:hAnsi="仿宋" w:eastAsia="仿宋"/>
          <w:sz w:val="32"/>
          <w:szCs w:val="32"/>
        </w:rPr>
        <w:t>指在基本支出之外，为完成特定的行政工作任务或事业发展目标所发生的支出。</w:t>
      </w:r>
    </w:p>
    <w:p>
      <w:pPr>
        <w:ind w:firstLine="640"/>
        <w:rPr>
          <w:rFonts w:ascii="黑体" w:hAnsi="黑体" w:eastAsia="黑体"/>
          <w:sz w:val="32"/>
          <w:szCs w:val="32"/>
        </w:rPr>
      </w:pPr>
      <w:r>
        <w:rPr>
          <w:rFonts w:hint="eastAsia" w:ascii="黑体" w:hAnsi="黑体" w:eastAsia="黑体"/>
          <w:sz w:val="32"/>
          <w:szCs w:val="32"/>
        </w:rPr>
        <w:t>六、机关运行经费</w:t>
      </w:r>
    </w:p>
    <w:p>
      <w:pPr>
        <w:ind w:firstLine="640" w:firstLineChars="200"/>
        <w:rPr>
          <w:rFonts w:ascii="仿宋" w:hAnsi="仿宋" w:eastAsia="仿宋"/>
          <w:sz w:val="32"/>
          <w:szCs w:val="32"/>
        </w:rPr>
      </w:pPr>
      <w:r>
        <w:rPr>
          <w:rFonts w:hint="eastAsia" w:ascii="仿宋" w:hAnsi="仿宋" w:eastAsia="仿宋"/>
          <w:sz w:val="32"/>
          <w:szCs w:val="32"/>
        </w:rPr>
        <w:t>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ind w:firstLine="640"/>
        <w:rPr>
          <w:rFonts w:ascii="黑体" w:hAnsi="黑体" w:eastAsia="黑体"/>
          <w:sz w:val="32"/>
          <w:szCs w:val="32"/>
        </w:rPr>
      </w:pPr>
      <w:r>
        <w:rPr>
          <w:rFonts w:hint="eastAsia" w:ascii="黑体" w:hAnsi="黑体" w:eastAsia="黑体"/>
          <w:sz w:val="32"/>
          <w:szCs w:val="32"/>
        </w:rPr>
        <w:t>七、“三公”经费</w:t>
      </w:r>
    </w:p>
    <w:p>
      <w:pPr>
        <w:ind w:firstLine="640" w:firstLineChars="200"/>
        <w:rPr>
          <w:rFonts w:ascii="仿宋" w:hAnsi="仿宋" w:eastAsia="仿宋"/>
          <w:sz w:val="32"/>
          <w:szCs w:val="32"/>
        </w:rPr>
      </w:pPr>
      <w:r>
        <w:rPr>
          <w:rFonts w:hint="eastAsia" w:ascii="仿宋" w:hAnsi="仿宋" w:eastAsia="仿宋"/>
          <w:sz w:val="32"/>
          <w:szCs w:val="32"/>
        </w:rPr>
        <w:t>指纳入本级财政预决算管理，本级部门使用财政拨款安排的因公出国（境）费、公务用车购置运行费和公务接待费。其中，因公出国（境）费指单位公务出国（境）的住宿费、旅费、伙食补助费、杂费、培训费等支出；公务用车购置运行费指单位公务用车购置费及租用费、燃料费、维修费、过路过桥费、保险费、安全奖励费用等支出；公务接待费指单位按规定开支的各类接待支出。</w:t>
      </w:r>
    </w:p>
    <w:p>
      <w:pPr>
        <w:ind w:firstLine="640" w:firstLineChars="200"/>
        <w:rPr>
          <w:rFonts w:ascii="仿宋" w:hAnsi="仿宋" w:eastAsia="仿宋"/>
          <w:sz w:val="32"/>
          <w:szCs w:val="32"/>
        </w:rPr>
      </w:pPr>
    </w:p>
    <w:p>
      <w:pPr>
        <w:pStyle w:val="4"/>
        <w:overflowPunct w:val="0"/>
        <w:topLinePunct/>
        <w:spacing w:before="0" w:beforeAutospacing="0" w:after="0" w:afterAutospacing="0" w:line="360" w:lineRule="auto"/>
        <w:jc w:val="both"/>
        <w:rPr>
          <w:color w:val="000000"/>
        </w:rPr>
      </w:pPr>
      <w:r>
        <w:rPr>
          <w:rFonts w:hint="eastAsia" w:ascii="黑体" w:hAnsi="黑体" w:eastAsia="黑体"/>
          <w:color w:val="000000"/>
          <w:sz w:val="32"/>
          <w:szCs w:val="32"/>
        </w:rPr>
        <w:t>附件：濮阳市华龙区</w:t>
      </w:r>
      <w:r>
        <w:rPr>
          <w:rFonts w:hint="eastAsia" w:ascii="黑体" w:hAnsi="黑体" w:eastAsia="黑体"/>
          <w:sz w:val="32"/>
          <w:szCs w:val="32"/>
        </w:rPr>
        <w:t>教育局</w:t>
      </w:r>
      <w:r>
        <w:rPr>
          <w:rFonts w:hint="eastAsia" w:ascii="黑体" w:hAnsi="黑体" w:eastAsia="黑体"/>
          <w:color w:val="000000"/>
          <w:sz w:val="32"/>
          <w:szCs w:val="32"/>
        </w:rPr>
        <w:t>2019年部门预算表（详见附表）</w:t>
      </w:r>
    </w:p>
    <w:p>
      <w:pPr>
        <w:pStyle w:val="4"/>
        <w:overflowPunct w:val="0"/>
        <w:topLinePunct/>
        <w:spacing w:before="0" w:beforeAutospacing="0" w:after="0" w:afterAutospacing="0" w:line="360" w:lineRule="auto"/>
        <w:ind w:firstLine="640" w:firstLineChars="200"/>
        <w:rPr>
          <w:color w:val="000000"/>
        </w:rPr>
      </w:pPr>
      <w:r>
        <w:rPr>
          <w:rFonts w:hint="eastAsia" w:ascii="仿宋_GB2312" w:eastAsia="仿宋_GB2312"/>
          <w:color w:val="000000"/>
          <w:sz w:val="32"/>
          <w:szCs w:val="32"/>
        </w:rPr>
        <w:t>一、部门收支总表</w:t>
      </w:r>
    </w:p>
    <w:p>
      <w:pPr>
        <w:pStyle w:val="4"/>
        <w:overflowPunct w:val="0"/>
        <w:topLinePunct/>
        <w:spacing w:before="0" w:beforeAutospacing="0" w:after="0" w:afterAutospacing="0" w:line="360" w:lineRule="auto"/>
        <w:ind w:firstLine="640" w:firstLineChars="200"/>
        <w:rPr>
          <w:color w:val="000000"/>
        </w:rPr>
      </w:pPr>
      <w:r>
        <w:rPr>
          <w:rFonts w:hint="eastAsia" w:ascii="仿宋_GB2312" w:eastAsia="仿宋_GB2312"/>
          <w:color w:val="000000"/>
          <w:sz w:val="32"/>
          <w:szCs w:val="32"/>
        </w:rPr>
        <w:t>二、部门收入总表</w:t>
      </w:r>
    </w:p>
    <w:p>
      <w:pPr>
        <w:pStyle w:val="4"/>
        <w:overflowPunct w:val="0"/>
        <w:topLinePunct/>
        <w:spacing w:before="0" w:beforeAutospacing="0" w:after="0" w:afterAutospacing="0" w:line="360" w:lineRule="auto"/>
        <w:ind w:firstLine="640" w:firstLineChars="200"/>
        <w:rPr>
          <w:color w:val="000000"/>
        </w:rPr>
      </w:pPr>
      <w:r>
        <w:rPr>
          <w:rFonts w:hint="eastAsia" w:ascii="仿宋_GB2312" w:eastAsia="仿宋_GB2312"/>
          <w:color w:val="000000"/>
          <w:sz w:val="32"/>
          <w:szCs w:val="32"/>
        </w:rPr>
        <w:t>三、部门支出总表</w:t>
      </w:r>
    </w:p>
    <w:p>
      <w:pPr>
        <w:pStyle w:val="4"/>
        <w:overflowPunct w:val="0"/>
        <w:topLinePunct/>
        <w:spacing w:before="0" w:beforeAutospacing="0" w:after="0" w:afterAutospacing="0" w:line="360" w:lineRule="auto"/>
        <w:ind w:firstLine="640" w:firstLineChars="200"/>
        <w:rPr>
          <w:color w:val="000000"/>
        </w:rPr>
      </w:pPr>
      <w:r>
        <w:rPr>
          <w:rFonts w:hint="eastAsia" w:ascii="仿宋_GB2312" w:eastAsia="仿宋_GB2312"/>
          <w:color w:val="000000"/>
          <w:sz w:val="32"/>
          <w:szCs w:val="32"/>
        </w:rPr>
        <w:t>四、财政拨款收支总表</w:t>
      </w:r>
    </w:p>
    <w:p>
      <w:pPr>
        <w:pStyle w:val="4"/>
        <w:overflowPunct w:val="0"/>
        <w:topLinePunct/>
        <w:spacing w:before="0" w:beforeAutospacing="0" w:after="0" w:afterAutospacing="0" w:line="360" w:lineRule="auto"/>
        <w:ind w:firstLine="640" w:firstLineChars="200"/>
        <w:rPr>
          <w:color w:val="000000"/>
        </w:rPr>
      </w:pPr>
      <w:r>
        <w:rPr>
          <w:rFonts w:hint="eastAsia" w:ascii="仿宋_GB2312" w:eastAsia="仿宋_GB2312"/>
          <w:color w:val="000000"/>
          <w:sz w:val="32"/>
          <w:szCs w:val="32"/>
        </w:rPr>
        <w:t>五、一般公共预算支出表</w:t>
      </w:r>
    </w:p>
    <w:p>
      <w:pPr>
        <w:pStyle w:val="4"/>
        <w:overflowPunct w:val="0"/>
        <w:topLinePunct/>
        <w:spacing w:before="0" w:beforeAutospacing="0" w:after="0" w:afterAutospacing="0" w:line="360" w:lineRule="auto"/>
        <w:ind w:firstLine="640" w:firstLineChars="200"/>
        <w:rPr>
          <w:color w:val="000000"/>
        </w:rPr>
      </w:pPr>
      <w:r>
        <w:rPr>
          <w:rFonts w:hint="eastAsia" w:ascii="仿宋_GB2312" w:eastAsia="仿宋_GB2312"/>
          <w:color w:val="000000"/>
          <w:sz w:val="32"/>
          <w:szCs w:val="32"/>
        </w:rPr>
        <w:t>六、一般公共预算基本支出表</w:t>
      </w:r>
    </w:p>
    <w:p>
      <w:pPr>
        <w:pStyle w:val="4"/>
        <w:overflowPunct w:val="0"/>
        <w:topLinePunct/>
        <w:spacing w:before="0" w:beforeAutospacing="0" w:after="0" w:afterAutospacing="0" w:line="360" w:lineRule="auto"/>
        <w:ind w:firstLine="640" w:firstLineChars="200"/>
        <w:rPr>
          <w:color w:val="000000"/>
        </w:rPr>
      </w:pPr>
      <w:r>
        <w:rPr>
          <w:rFonts w:hint="eastAsia" w:ascii="仿宋_GB2312" w:eastAsia="仿宋_GB2312"/>
          <w:color w:val="000000"/>
          <w:sz w:val="32"/>
          <w:szCs w:val="32"/>
        </w:rPr>
        <w:t>七、一般公共预算“三公”经费支出表</w:t>
      </w:r>
    </w:p>
    <w:p>
      <w:pPr>
        <w:ind w:firstLine="640" w:firstLineChars="200"/>
        <w:rPr>
          <w:rFonts w:ascii="仿宋" w:hAnsi="仿宋" w:eastAsia="仿宋"/>
          <w:sz w:val="32"/>
          <w:szCs w:val="32"/>
        </w:rPr>
      </w:pPr>
      <w:r>
        <w:rPr>
          <w:rFonts w:hint="eastAsia" w:ascii="仿宋_GB2312" w:eastAsia="仿宋_GB2312"/>
          <w:color w:val="000000"/>
          <w:sz w:val="32"/>
          <w:szCs w:val="32"/>
        </w:rPr>
        <w:t>八、政府性基金预算支出表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21D"/>
    <w:rsid w:val="00002196"/>
    <w:rsid w:val="00004A5A"/>
    <w:rsid w:val="000132E8"/>
    <w:rsid w:val="00016BED"/>
    <w:rsid w:val="0002164D"/>
    <w:rsid w:val="00027F80"/>
    <w:rsid w:val="000430FF"/>
    <w:rsid w:val="00061554"/>
    <w:rsid w:val="00072768"/>
    <w:rsid w:val="00073460"/>
    <w:rsid w:val="00073A1C"/>
    <w:rsid w:val="00083F78"/>
    <w:rsid w:val="00084BC7"/>
    <w:rsid w:val="000A120E"/>
    <w:rsid w:val="000A2622"/>
    <w:rsid w:val="000A61C6"/>
    <w:rsid w:val="000B0330"/>
    <w:rsid w:val="000D10F2"/>
    <w:rsid w:val="000E11AD"/>
    <w:rsid w:val="000E2600"/>
    <w:rsid w:val="000F620F"/>
    <w:rsid w:val="0011394B"/>
    <w:rsid w:val="00116512"/>
    <w:rsid w:val="00117E91"/>
    <w:rsid w:val="0012037F"/>
    <w:rsid w:val="00133B0C"/>
    <w:rsid w:val="00160364"/>
    <w:rsid w:val="00172BEB"/>
    <w:rsid w:val="0017321F"/>
    <w:rsid w:val="0017490C"/>
    <w:rsid w:val="00177B2F"/>
    <w:rsid w:val="00196D1B"/>
    <w:rsid w:val="001A363D"/>
    <w:rsid w:val="001A450C"/>
    <w:rsid w:val="001B0630"/>
    <w:rsid w:val="001B43C4"/>
    <w:rsid w:val="001D3173"/>
    <w:rsid w:val="001D7B94"/>
    <w:rsid w:val="001E082A"/>
    <w:rsid w:val="001E2002"/>
    <w:rsid w:val="001E5848"/>
    <w:rsid w:val="001F5C3A"/>
    <w:rsid w:val="001F69E6"/>
    <w:rsid w:val="001F6EA6"/>
    <w:rsid w:val="00204798"/>
    <w:rsid w:val="00213FB6"/>
    <w:rsid w:val="00214722"/>
    <w:rsid w:val="002209A7"/>
    <w:rsid w:val="00220CDC"/>
    <w:rsid w:val="00224A75"/>
    <w:rsid w:val="002310DD"/>
    <w:rsid w:val="0024686B"/>
    <w:rsid w:val="00253EBE"/>
    <w:rsid w:val="00266CFB"/>
    <w:rsid w:val="00272F81"/>
    <w:rsid w:val="00280017"/>
    <w:rsid w:val="00290690"/>
    <w:rsid w:val="0029175A"/>
    <w:rsid w:val="0029197A"/>
    <w:rsid w:val="002B0CFE"/>
    <w:rsid w:val="002B1D96"/>
    <w:rsid w:val="002B3532"/>
    <w:rsid w:val="002D0E65"/>
    <w:rsid w:val="00300F5D"/>
    <w:rsid w:val="0031611D"/>
    <w:rsid w:val="00325FBD"/>
    <w:rsid w:val="00326DBC"/>
    <w:rsid w:val="003318E0"/>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E34C3"/>
    <w:rsid w:val="003E6713"/>
    <w:rsid w:val="003F0725"/>
    <w:rsid w:val="003F4660"/>
    <w:rsid w:val="00402E18"/>
    <w:rsid w:val="004114C1"/>
    <w:rsid w:val="00412DD4"/>
    <w:rsid w:val="00416C13"/>
    <w:rsid w:val="0042448C"/>
    <w:rsid w:val="00424BFE"/>
    <w:rsid w:val="00433C48"/>
    <w:rsid w:val="00435B90"/>
    <w:rsid w:val="00440925"/>
    <w:rsid w:val="004444A9"/>
    <w:rsid w:val="00456A2A"/>
    <w:rsid w:val="004649B6"/>
    <w:rsid w:val="0047221A"/>
    <w:rsid w:val="00475C58"/>
    <w:rsid w:val="00476651"/>
    <w:rsid w:val="00480E6B"/>
    <w:rsid w:val="00481880"/>
    <w:rsid w:val="00481BF7"/>
    <w:rsid w:val="00484FF3"/>
    <w:rsid w:val="004917F6"/>
    <w:rsid w:val="00497FA5"/>
    <w:rsid w:val="004A5FC7"/>
    <w:rsid w:val="004B62CD"/>
    <w:rsid w:val="004C121C"/>
    <w:rsid w:val="004D11E2"/>
    <w:rsid w:val="004D20D7"/>
    <w:rsid w:val="004D73C3"/>
    <w:rsid w:val="004E2EF8"/>
    <w:rsid w:val="004F3F49"/>
    <w:rsid w:val="0051575E"/>
    <w:rsid w:val="0052101E"/>
    <w:rsid w:val="005223E8"/>
    <w:rsid w:val="0052707F"/>
    <w:rsid w:val="00551DD9"/>
    <w:rsid w:val="00553A23"/>
    <w:rsid w:val="005615F1"/>
    <w:rsid w:val="00562A65"/>
    <w:rsid w:val="0056720C"/>
    <w:rsid w:val="00571FE5"/>
    <w:rsid w:val="00591085"/>
    <w:rsid w:val="005938E5"/>
    <w:rsid w:val="00597C5D"/>
    <w:rsid w:val="005A4BCA"/>
    <w:rsid w:val="005B24C5"/>
    <w:rsid w:val="005B3B9A"/>
    <w:rsid w:val="005C1BA0"/>
    <w:rsid w:val="005D10EC"/>
    <w:rsid w:val="005D623D"/>
    <w:rsid w:val="005E0440"/>
    <w:rsid w:val="005E1A4B"/>
    <w:rsid w:val="005E1ABC"/>
    <w:rsid w:val="005E5AAE"/>
    <w:rsid w:val="005F0D3B"/>
    <w:rsid w:val="005F5D72"/>
    <w:rsid w:val="006147C0"/>
    <w:rsid w:val="00617AE7"/>
    <w:rsid w:val="006204DF"/>
    <w:rsid w:val="00635649"/>
    <w:rsid w:val="006421B2"/>
    <w:rsid w:val="00642F39"/>
    <w:rsid w:val="00644DCC"/>
    <w:rsid w:val="0066430F"/>
    <w:rsid w:val="0066771A"/>
    <w:rsid w:val="00684EBF"/>
    <w:rsid w:val="00697DBA"/>
    <w:rsid w:val="006B459A"/>
    <w:rsid w:val="006B473E"/>
    <w:rsid w:val="006B4837"/>
    <w:rsid w:val="006C00B0"/>
    <w:rsid w:val="006C452E"/>
    <w:rsid w:val="006C72AC"/>
    <w:rsid w:val="006D2CC2"/>
    <w:rsid w:val="006D3C5C"/>
    <w:rsid w:val="006E6294"/>
    <w:rsid w:val="006E72AD"/>
    <w:rsid w:val="006F5083"/>
    <w:rsid w:val="00702196"/>
    <w:rsid w:val="007027B6"/>
    <w:rsid w:val="00707582"/>
    <w:rsid w:val="00710DE8"/>
    <w:rsid w:val="0071465B"/>
    <w:rsid w:val="007257DD"/>
    <w:rsid w:val="00732161"/>
    <w:rsid w:val="0073403E"/>
    <w:rsid w:val="00734E78"/>
    <w:rsid w:val="00747E1F"/>
    <w:rsid w:val="00765E2A"/>
    <w:rsid w:val="00782BE8"/>
    <w:rsid w:val="00782CE4"/>
    <w:rsid w:val="007A1AC1"/>
    <w:rsid w:val="007A2989"/>
    <w:rsid w:val="007A5110"/>
    <w:rsid w:val="007A7440"/>
    <w:rsid w:val="007C199D"/>
    <w:rsid w:val="007C2779"/>
    <w:rsid w:val="007D24C5"/>
    <w:rsid w:val="007D3D59"/>
    <w:rsid w:val="007D4319"/>
    <w:rsid w:val="007D611A"/>
    <w:rsid w:val="007E0112"/>
    <w:rsid w:val="007E704C"/>
    <w:rsid w:val="007E7C54"/>
    <w:rsid w:val="007F3130"/>
    <w:rsid w:val="00800679"/>
    <w:rsid w:val="0080427E"/>
    <w:rsid w:val="00804F1B"/>
    <w:rsid w:val="00812D56"/>
    <w:rsid w:val="0081363F"/>
    <w:rsid w:val="008219F5"/>
    <w:rsid w:val="00824FDA"/>
    <w:rsid w:val="00832D8F"/>
    <w:rsid w:val="0083533D"/>
    <w:rsid w:val="00843134"/>
    <w:rsid w:val="008431DE"/>
    <w:rsid w:val="00845FFF"/>
    <w:rsid w:val="00851C33"/>
    <w:rsid w:val="00852187"/>
    <w:rsid w:val="00852DF5"/>
    <w:rsid w:val="0085559B"/>
    <w:rsid w:val="008616AC"/>
    <w:rsid w:val="00862471"/>
    <w:rsid w:val="0086512B"/>
    <w:rsid w:val="00873DD2"/>
    <w:rsid w:val="00874090"/>
    <w:rsid w:val="00875A77"/>
    <w:rsid w:val="00885752"/>
    <w:rsid w:val="00894B44"/>
    <w:rsid w:val="008A4B90"/>
    <w:rsid w:val="008C6505"/>
    <w:rsid w:val="008C7E32"/>
    <w:rsid w:val="008D7A88"/>
    <w:rsid w:val="008F55A5"/>
    <w:rsid w:val="00914F43"/>
    <w:rsid w:val="009222A2"/>
    <w:rsid w:val="0092547C"/>
    <w:rsid w:val="0093502A"/>
    <w:rsid w:val="009426BE"/>
    <w:rsid w:val="00944D35"/>
    <w:rsid w:val="00950804"/>
    <w:rsid w:val="00954459"/>
    <w:rsid w:val="00960055"/>
    <w:rsid w:val="0096318B"/>
    <w:rsid w:val="00971B68"/>
    <w:rsid w:val="00972F44"/>
    <w:rsid w:val="009731A3"/>
    <w:rsid w:val="009814D8"/>
    <w:rsid w:val="009830CB"/>
    <w:rsid w:val="00983C15"/>
    <w:rsid w:val="00984AAA"/>
    <w:rsid w:val="00994FAB"/>
    <w:rsid w:val="00996862"/>
    <w:rsid w:val="009A2613"/>
    <w:rsid w:val="009D0889"/>
    <w:rsid w:val="009E5D9B"/>
    <w:rsid w:val="00A01F6A"/>
    <w:rsid w:val="00A221C0"/>
    <w:rsid w:val="00A35377"/>
    <w:rsid w:val="00A37678"/>
    <w:rsid w:val="00A40FF9"/>
    <w:rsid w:val="00A425F2"/>
    <w:rsid w:val="00A53246"/>
    <w:rsid w:val="00A718EC"/>
    <w:rsid w:val="00A71EFF"/>
    <w:rsid w:val="00A73C86"/>
    <w:rsid w:val="00A76FD9"/>
    <w:rsid w:val="00A910BD"/>
    <w:rsid w:val="00AA5FE0"/>
    <w:rsid w:val="00AB0E48"/>
    <w:rsid w:val="00AB37CE"/>
    <w:rsid w:val="00AB6E5A"/>
    <w:rsid w:val="00AC27D5"/>
    <w:rsid w:val="00AF0FB9"/>
    <w:rsid w:val="00B022C0"/>
    <w:rsid w:val="00B05446"/>
    <w:rsid w:val="00B06D0B"/>
    <w:rsid w:val="00B25A37"/>
    <w:rsid w:val="00B26A43"/>
    <w:rsid w:val="00B34B10"/>
    <w:rsid w:val="00B35225"/>
    <w:rsid w:val="00B3716C"/>
    <w:rsid w:val="00B46A15"/>
    <w:rsid w:val="00B46F19"/>
    <w:rsid w:val="00B60A81"/>
    <w:rsid w:val="00B672B5"/>
    <w:rsid w:val="00B70367"/>
    <w:rsid w:val="00B705C6"/>
    <w:rsid w:val="00B71CE3"/>
    <w:rsid w:val="00B863DA"/>
    <w:rsid w:val="00B90E5B"/>
    <w:rsid w:val="00B927E7"/>
    <w:rsid w:val="00BA1B1A"/>
    <w:rsid w:val="00BA36C6"/>
    <w:rsid w:val="00BA5198"/>
    <w:rsid w:val="00BC207F"/>
    <w:rsid w:val="00BC593D"/>
    <w:rsid w:val="00BD3139"/>
    <w:rsid w:val="00BE1219"/>
    <w:rsid w:val="00BE5DE9"/>
    <w:rsid w:val="00BF5C9F"/>
    <w:rsid w:val="00BF6EBD"/>
    <w:rsid w:val="00C029AF"/>
    <w:rsid w:val="00C0463F"/>
    <w:rsid w:val="00C051A2"/>
    <w:rsid w:val="00C163B1"/>
    <w:rsid w:val="00C22F11"/>
    <w:rsid w:val="00C27784"/>
    <w:rsid w:val="00C36572"/>
    <w:rsid w:val="00C36BDB"/>
    <w:rsid w:val="00C406BC"/>
    <w:rsid w:val="00C416BE"/>
    <w:rsid w:val="00C43369"/>
    <w:rsid w:val="00C54ED3"/>
    <w:rsid w:val="00C562B8"/>
    <w:rsid w:val="00C60328"/>
    <w:rsid w:val="00C76695"/>
    <w:rsid w:val="00C81C8A"/>
    <w:rsid w:val="00C82D88"/>
    <w:rsid w:val="00C929BF"/>
    <w:rsid w:val="00C95075"/>
    <w:rsid w:val="00CA5A8E"/>
    <w:rsid w:val="00CA790B"/>
    <w:rsid w:val="00CB3F5A"/>
    <w:rsid w:val="00CB522C"/>
    <w:rsid w:val="00CC26EC"/>
    <w:rsid w:val="00CD1BAC"/>
    <w:rsid w:val="00CF3A78"/>
    <w:rsid w:val="00CF56A3"/>
    <w:rsid w:val="00D027AD"/>
    <w:rsid w:val="00D10BAC"/>
    <w:rsid w:val="00D1654C"/>
    <w:rsid w:val="00D212CC"/>
    <w:rsid w:val="00D31C86"/>
    <w:rsid w:val="00D31E35"/>
    <w:rsid w:val="00D33090"/>
    <w:rsid w:val="00D3663D"/>
    <w:rsid w:val="00D42712"/>
    <w:rsid w:val="00D4620C"/>
    <w:rsid w:val="00D526B5"/>
    <w:rsid w:val="00D627E3"/>
    <w:rsid w:val="00D63C17"/>
    <w:rsid w:val="00D64296"/>
    <w:rsid w:val="00D75376"/>
    <w:rsid w:val="00D76A95"/>
    <w:rsid w:val="00D92232"/>
    <w:rsid w:val="00DA34FD"/>
    <w:rsid w:val="00DC17BB"/>
    <w:rsid w:val="00DC5066"/>
    <w:rsid w:val="00DE0A3A"/>
    <w:rsid w:val="00DF1D80"/>
    <w:rsid w:val="00DF6259"/>
    <w:rsid w:val="00DF656C"/>
    <w:rsid w:val="00DF7A40"/>
    <w:rsid w:val="00E07DF5"/>
    <w:rsid w:val="00E25D79"/>
    <w:rsid w:val="00E26C3C"/>
    <w:rsid w:val="00E34EC7"/>
    <w:rsid w:val="00E40BD7"/>
    <w:rsid w:val="00E41829"/>
    <w:rsid w:val="00E54A09"/>
    <w:rsid w:val="00E628C1"/>
    <w:rsid w:val="00E772E4"/>
    <w:rsid w:val="00E8327B"/>
    <w:rsid w:val="00E83F8F"/>
    <w:rsid w:val="00E9136C"/>
    <w:rsid w:val="00E92BEC"/>
    <w:rsid w:val="00E933D0"/>
    <w:rsid w:val="00E93DA8"/>
    <w:rsid w:val="00E96C0E"/>
    <w:rsid w:val="00EB2414"/>
    <w:rsid w:val="00EB4212"/>
    <w:rsid w:val="00EC11F0"/>
    <w:rsid w:val="00EC3452"/>
    <w:rsid w:val="00ED6165"/>
    <w:rsid w:val="00ED7573"/>
    <w:rsid w:val="00EE2DC1"/>
    <w:rsid w:val="00EE41CF"/>
    <w:rsid w:val="00EE4D4B"/>
    <w:rsid w:val="00F027A0"/>
    <w:rsid w:val="00F11492"/>
    <w:rsid w:val="00F17169"/>
    <w:rsid w:val="00F204DA"/>
    <w:rsid w:val="00F206CC"/>
    <w:rsid w:val="00F233A7"/>
    <w:rsid w:val="00F24FA1"/>
    <w:rsid w:val="00F33195"/>
    <w:rsid w:val="00F4521D"/>
    <w:rsid w:val="00F87E41"/>
    <w:rsid w:val="00F93ACE"/>
    <w:rsid w:val="00F9584D"/>
    <w:rsid w:val="00F97FD4"/>
    <w:rsid w:val="00FB6183"/>
    <w:rsid w:val="00FC6401"/>
    <w:rsid w:val="00FD7E30"/>
    <w:rsid w:val="00FE715C"/>
    <w:rsid w:val="00FF2323"/>
    <w:rsid w:val="00FF3854"/>
    <w:rsid w:val="027E0415"/>
    <w:rsid w:val="074C5760"/>
    <w:rsid w:val="079C2041"/>
    <w:rsid w:val="1CCC73F6"/>
    <w:rsid w:val="1E970111"/>
    <w:rsid w:val="1FB25C68"/>
    <w:rsid w:val="2774312E"/>
    <w:rsid w:val="27AD7BF5"/>
    <w:rsid w:val="2B742F50"/>
    <w:rsid w:val="2DF95683"/>
    <w:rsid w:val="32F87E4B"/>
    <w:rsid w:val="341A4260"/>
    <w:rsid w:val="47865B65"/>
    <w:rsid w:val="4B343AF2"/>
    <w:rsid w:val="4D3F543B"/>
    <w:rsid w:val="5862203A"/>
    <w:rsid w:val="59EA09E8"/>
    <w:rsid w:val="5AC21B47"/>
    <w:rsid w:val="69C91AC4"/>
    <w:rsid w:val="71CE2234"/>
    <w:rsid w:val="76A53F15"/>
    <w:rsid w:val="7B653A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kern w:val="0"/>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link w:val="3"/>
    <w:locked/>
    <w:uiPriority w:val="99"/>
    <w:rPr>
      <w:rFonts w:cs="Times New Roman"/>
      <w:sz w:val="18"/>
    </w:rPr>
  </w:style>
  <w:style w:type="character" w:customStyle="1" w:styleId="8">
    <w:name w:val="页脚 Char"/>
    <w:link w:val="2"/>
    <w:qFormat/>
    <w:locked/>
    <w:uiPriority w:val="99"/>
    <w:rPr>
      <w:rFonts w:cs="Times New Roman"/>
      <w:sz w:val="18"/>
    </w:rPr>
  </w:style>
  <w:style w:type="paragraph" w:customStyle="1" w:styleId="9">
    <w:name w:val="Default"/>
    <w:qFormat/>
    <w:uiPriority w:val="99"/>
    <w:pPr>
      <w:widowControl w:val="0"/>
      <w:autoSpaceDE w:val="0"/>
      <w:autoSpaceDN w:val="0"/>
      <w:adjustRightInd w:val="0"/>
    </w:pPr>
    <w:rPr>
      <w:rFonts w:ascii="黑体" w:hAnsi="黑体" w:eastAsia="宋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6C01B6-2BD7-4D9F-BAA5-2A7276F4B3D7}">
  <ds:schemaRefs/>
</ds:datastoreItem>
</file>

<file path=docProps/app.xml><?xml version="1.0" encoding="utf-8"?>
<Properties xmlns="http://schemas.openxmlformats.org/officeDocument/2006/extended-properties" xmlns:vt="http://schemas.openxmlformats.org/officeDocument/2006/docPropsVTypes">
  <Template>Normal</Template>
  <Pages>9</Pages>
  <Words>443</Words>
  <Characters>2526</Characters>
  <Lines>21</Lines>
  <Paragraphs>5</Paragraphs>
  <TotalTime>68</TotalTime>
  <ScaleCrop>false</ScaleCrop>
  <LinksUpToDate>false</LinksUpToDate>
  <CharactersWithSpaces>2964</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2017-10-31T03:18:00Z</dcterms:created>
  <dc:creator>lenovo</dc:creator>
  <cp:lastModifiedBy>DELL</cp:lastModifiedBy>
  <dcterms:modified xsi:type="dcterms:W3CDTF">2021-06-21T01:52:37Z</dcterms:modified>
  <dc:title>濮阳市华龙区XXX局</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38DC752CF83A4EBCA9AFD24B9196E946</vt:lpwstr>
  </property>
</Properties>
</file>